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2D" w:rsidRPr="00DF2D02" w:rsidRDefault="0055392D" w:rsidP="00845094">
      <w:pPr>
        <w:pStyle w:val="Title"/>
        <w:jc w:val="both"/>
        <w:rPr>
          <w:rFonts w:ascii="Tahoma" w:hAnsi="Tahoma" w:cs="Tahoma"/>
          <w:b/>
          <w:caps/>
          <w:sz w:val="20"/>
          <w:szCs w:val="20"/>
          <w:u w:val="none"/>
        </w:rPr>
      </w:pPr>
      <w:r w:rsidRPr="00DF2D02">
        <w:rPr>
          <w:rFonts w:ascii="Tahoma" w:hAnsi="Tahoma" w:cs="Tahoma"/>
          <w:b/>
          <w:caps/>
          <w:sz w:val="20"/>
          <w:szCs w:val="20"/>
          <w:u w:val="none"/>
        </w:rPr>
        <w:t>přezkoumání hospodaření za rok 2013</w:t>
      </w:r>
      <w:r>
        <w:rPr>
          <w:rFonts w:ascii="Tahoma" w:hAnsi="Tahoma" w:cs="Tahoma"/>
          <w:b/>
          <w:caps/>
          <w:sz w:val="20"/>
          <w:szCs w:val="20"/>
          <w:u w:val="none"/>
        </w:rPr>
        <w:t xml:space="preserve"> - poměrovÉ ukazatelE</w:t>
      </w:r>
      <w:r w:rsidRPr="00DF2D02">
        <w:rPr>
          <w:rFonts w:ascii="Tahoma" w:hAnsi="Tahoma" w:cs="Tahoma"/>
          <w:b/>
          <w:caps/>
          <w:sz w:val="20"/>
          <w:szCs w:val="20"/>
          <w:u w:val="none"/>
        </w:rPr>
        <w:t xml:space="preserve"> podle ustanovení § 10 odst. 4 písm. b) zákona </w:t>
      </w:r>
      <w:r w:rsidRPr="004F7E10">
        <w:rPr>
          <w:rFonts w:ascii="Tahoma" w:hAnsi="Tahoma" w:cs="Tahoma"/>
          <w:b/>
          <w:sz w:val="20"/>
          <w:szCs w:val="20"/>
          <w:u w:val="none"/>
        </w:rPr>
        <w:t>č.</w:t>
      </w:r>
      <w:r w:rsidRPr="00DF2D02">
        <w:rPr>
          <w:rFonts w:ascii="Tahoma" w:hAnsi="Tahoma" w:cs="Tahoma"/>
          <w:b/>
          <w:caps/>
          <w:sz w:val="20"/>
          <w:szCs w:val="20"/>
          <w:u w:val="none"/>
        </w:rPr>
        <w:t xml:space="preserve"> 420/2004 Sb.</w:t>
      </w:r>
      <w:r>
        <w:rPr>
          <w:rFonts w:ascii="Tahoma" w:hAnsi="Tahoma" w:cs="Tahoma"/>
          <w:b/>
          <w:caps/>
          <w:sz w:val="20"/>
          <w:szCs w:val="20"/>
          <w:u w:val="none"/>
        </w:rPr>
        <w:t>,</w:t>
      </w:r>
      <w:r w:rsidRPr="00DF2D02">
        <w:rPr>
          <w:rFonts w:ascii="Tahoma" w:hAnsi="Tahoma" w:cs="Tahoma"/>
          <w:b/>
          <w:caps/>
          <w:sz w:val="20"/>
          <w:szCs w:val="20"/>
          <w:u w:val="none"/>
        </w:rPr>
        <w:t xml:space="preserve"> o přezkoumávání hospodaření územních samosprávných celků a dobrovolných svazků obcí </w:t>
      </w:r>
    </w:p>
    <w:p w:rsidR="0055392D" w:rsidRPr="00DF2D02" w:rsidRDefault="0055392D" w:rsidP="00845094">
      <w:pPr>
        <w:jc w:val="both"/>
        <w:rPr>
          <w:rFonts w:ascii="Tahoma" w:hAnsi="Tahoma" w:cs="Tahoma"/>
          <w:sz w:val="20"/>
          <w:szCs w:val="20"/>
        </w:rPr>
      </w:pPr>
    </w:p>
    <w:p w:rsidR="0055392D" w:rsidRPr="00DF2D02" w:rsidRDefault="0055392D" w:rsidP="00887E9A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DF2D02">
        <w:rPr>
          <w:rFonts w:ascii="Tahoma" w:hAnsi="Tahoma" w:cs="Tahoma"/>
          <w:sz w:val="20"/>
          <w:szCs w:val="20"/>
        </w:rPr>
        <w:t>Martina Smetanová – členka Výboru pro veřejný sektor KA ČR</w:t>
      </w:r>
    </w:p>
    <w:p w:rsidR="0055392D" w:rsidRPr="00DF2D02" w:rsidRDefault="0055392D" w:rsidP="00887E9A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Karel Korba, Roman Knetl</w:t>
      </w:r>
      <w:r w:rsidRPr="00DF2D02">
        <w:rPr>
          <w:rFonts w:ascii="Tahoma" w:hAnsi="Tahoma" w:cs="Tahoma"/>
          <w:sz w:val="20"/>
          <w:szCs w:val="20"/>
        </w:rPr>
        <w:t xml:space="preserve"> – Ministerstvo financí ČR</w:t>
      </w:r>
    </w:p>
    <w:p w:rsidR="0055392D" w:rsidRPr="00DF2D02" w:rsidRDefault="0055392D" w:rsidP="007B7F19">
      <w:pPr>
        <w:rPr>
          <w:rFonts w:ascii="Tahoma" w:hAnsi="Tahoma" w:cs="Tahoma"/>
          <w:sz w:val="20"/>
          <w:szCs w:val="20"/>
        </w:rPr>
      </w:pPr>
    </w:p>
    <w:p w:rsidR="0055392D" w:rsidRPr="00DF2D02" w:rsidRDefault="0055392D" w:rsidP="00887E9A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DF2D02">
        <w:rPr>
          <w:rFonts w:ascii="Tahoma" w:hAnsi="Tahoma" w:cs="Tahoma"/>
          <w:b/>
          <w:bCs/>
          <w:sz w:val="20"/>
          <w:szCs w:val="20"/>
        </w:rPr>
        <w:t>Legislativní rámec</w:t>
      </w:r>
    </w:p>
    <w:p w:rsidR="0055392D" w:rsidRPr="00DF2D02" w:rsidRDefault="0055392D" w:rsidP="00887E9A">
      <w:pPr>
        <w:jc w:val="both"/>
        <w:rPr>
          <w:rFonts w:ascii="Tahoma" w:hAnsi="Tahoma" w:cs="Tahoma"/>
          <w:sz w:val="20"/>
          <w:szCs w:val="20"/>
        </w:rPr>
      </w:pPr>
    </w:p>
    <w:p w:rsidR="0055392D" w:rsidRPr="00DF2D02" w:rsidRDefault="0055392D" w:rsidP="00DF2D02">
      <w:pPr>
        <w:pStyle w:val="ListParagraph"/>
        <w:numPr>
          <w:ilvl w:val="0"/>
          <w:numId w:val="47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DF2D02">
        <w:rPr>
          <w:rFonts w:ascii="Tahoma" w:hAnsi="Tahoma" w:cs="Tahoma"/>
          <w:sz w:val="20"/>
          <w:szCs w:val="20"/>
          <w:lang w:val="cs-CZ"/>
        </w:rPr>
        <w:t>Zákon č. 420/2004 Sb., o přezkoumávání hospodaření územních samosprávných celků a dobrovolných svazků obcí (dále jen „ zákon o přezkoumání“), § 10 odst. 4, písm. b)</w:t>
      </w:r>
    </w:p>
    <w:p w:rsidR="0055392D" w:rsidRPr="00DF2D02" w:rsidRDefault="0055392D" w:rsidP="00DF2D02">
      <w:pPr>
        <w:pStyle w:val="ListParagraph"/>
        <w:numPr>
          <w:ilvl w:val="0"/>
          <w:numId w:val="47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DF2D02">
        <w:rPr>
          <w:rFonts w:ascii="Tahoma" w:hAnsi="Tahoma" w:cs="Tahoma"/>
          <w:sz w:val="20"/>
          <w:szCs w:val="20"/>
          <w:lang w:val="cs-CZ"/>
        </w:rPr>
        <w:t>Auditorský standard č. 52 – přezkoumání hospodaření územních samosprávných celků</w:t>
      </w:r>
    </w:p>
    <w:p w:rsidR="0055392D" w:rsidRPr="00DF2D02" w:rsidRDefault="0055392D" w:rsidP="005B45B9">
      <w:pPr>
        <w:jc w:val="both"/>
        <w:rPr>
          <w:rFonts w:ascii="Tahoma" w:hAnsi="Tahoma" w:cs="Tahoma"/>
          <w:sz w:val="20"/>
          <w:szCs w:val="20"/>
        </w:rPr>
      </w:pPr>
    </w:p>
    <w:p w:rsidR="0055392D" w:rsidRPr="00DF2D02" w:rsidRDefault="0055392D" w:rsidP="007B7F19">
      <w:pPr>
        <w:pStyle w:val="Body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Povinnou náležitostí závěru zprávy o výsledku přezkoumání hospodaření je, podle ustanovení</w:t>
      </w:r>
      <w:r w:rsidRPr="00DF2D02">
        <w:rPr>
          <w:rFonts w:ascii="Tahoma" w:hAnsi="Tahoma" w:cs="Tahoma"/>
          <w:sz w:val="20"/>
          <w:szCs w:val="20"/>
        </w:rPr>
        <w:t xml:space="preserve"> § 10 odst. 4 písm. b) zákona o přezkoumání, </w:t>
      </w:r>
      <w:r w:rsidRPr="00DF2D02">
        <w:rPr>
          <w:rFonts w:ascii="Tahoma" w:hAnsi="Tahoma" w:cs="Tahoma"/>
          <w:b/>
          <w:bCs/>
          <w:sz w:val="20"/>
          <w:szCs w:val="20"/>
        </w:rPr>
        <w:t>„ uvedení podílu pohledávek a závazků na rozpočtu územního celku</w:t>
      </w:r>
      <w:r w:rsidRPr="00DF2D02">
        <w:rPr>
          <w:rFonts w:ascii="Tahoma" w:hAnsi="Tahoma" w:cs="Tahoma"/>
          <w:b/>
          <w:bCs/>
          <w:sz w:val="20"/>
          <w:szCs w:val="20"/>
          <w:lang w:val="en-US"/>
        </w:rPr>
        <w:t>*</w:t>
      </w:r>
      <w:r w:rsidRPr="00DF2D02">
        <w:rPr>
          <w:rFonts w:ascii="Tahoma" w:hAnsi="Tahoma" w:cs="Tahoma"/>
          <w:b/>
          <w:bCs/>
          <w:sz w:val="20"/>
          <w:szCs w:val="20"/>
        </w:rPr>
        <w:t xml:space="preserve"> a podílu zastaveného majetku na celk</w:t>
      </w:r>
      <w:r>
        <w:rPr>
          <w:rFonts w:ascii="Tahoma" w:hAnsi="Tahoma" w:cs="Tahoma"/>
          <w:b/>
          <w:bCs/>
          <w:sz w:val="20"/>
          <w:szCs w:val="20"/>
        </w:rPr>
        <w:t>ovém majetku územního celku</w:t>
      </w:r>
      <w:r>
        <w:rPr>
          <w:rFonts w:ascii="Tahoma" w:hAnsi="Tahoma" w:cs="Tahoma"/>
          <w:b/>
          <w:bCs/>
          <w:sz w:val="20"/>
          <w:szCs w:val="20"/>
          <w:lang w:val="en-US"/>
        </w:rPr>
        <w:t>”</w:t>
      </w:r>
      <w:r w:rsidRPr="00DF2D02">
        <w:rPr>
          <w:rFonts w:ascii="Tahoma" w:hAnsi="Tahoma" w:cs="Tahoma"/>
          <w:sz w:val="20"/>
          <w:szCs w:val="20"/>
        </w:rPr>
        <w:t xml:space="preserve"> (dále jen „Ukazatele“). </w:t>
      </w:r>
    </w:p>
    <w:p w:rsidR="0055392D" w:rsidRDefault="0055392D" w:rsidP="007B7F19">
      <w:pPr>
        <w:pStyle w:val="BodyText"/>
        <w:rPr>
          <w:rFonts w:ascii="Tahoma" w:hAnsi="Tahoma" w:cs="Tahoma"/>
          <w:sz w:val="20"/>
          <w:szCs w:val="20"/>
        </w:rPr>
      </w:pPr>
    </w:p>
    <w:p w:rsidR="0055392D" w:rsidRPr="00611388" w:rsidRDefault="0055392D" w:rsidP="007B7F19">
      <w:pPr>
        <w:pStyle w:val="BodyText"/>
        <w:rPr>
          <w:rFonts w:ascii="Tahoma" w:hAnsi="Tahoma" w:cs="Tahoma"/>
          <w:b/>
          <w:sz w:val="20"/>
          <w:szCs w:val="20"/>
        </w:rPr>
      </w:pPr>
      <w:r w:rsidRPr="00611388">
        <w:rPr>
          <w:rFonts w:ascii="Tahoma" w:hAnsi="Tahoma" w:cs="Tahoma"/>
          <w:b/>
          <w:sz w:val="20"/>
          <w:szCs w:val="20"/>
        </w:rPr>
        <w:t>Ukazatele</w:t>
      </w:r>
    </w:p>
    <w:p w:rsidR="0055392D" w:rsidRPr="00DF2D02" w:rsidRDefault="0055392D" w:rsidP="007B7F19">
      <w:pPr>
        <w:pStyle w:val="BodyText"/>
        <w:rPr>
          <w:rFonts w:ascii="Tahoma" w:hAnsi="Tahoma" w:cs="Tahoma"/>
          <w:sz w:val="20"/>
          <w:szCs w:val="20"/>
        </w:rPr>
      </w:pPr>
    </w:p>
    <w:p w:rsidR="0055392D" w:rsidRPr="00DF2D02" w:rsidRDefault="0055392D" w:rsidP="000C1A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Ministerstvo financí ČR vydává pro </w:t>
      </w:r>
      <w:r w:rsidRPr="00DF2D02">
        <w:rPr>
          <w:rFonts w:ascii="Tahoma" w:hAnsi="Tahoma" w:cs="Tahoma"/>
          <w:sz w:val="20"/>
          <w:szCs w:val="20"/>
        </w:rPr>
        <w:t>přezkoumání hospod</w:t>
      </w:r>
      <w:r>
        <w:rPr>
          <w:rFonts w:ascii="Tahoma" w:hAnsi="Tahoma" w:cs="Tahoma"/>
          <w:sz w:val="20"/>
          <w:szCs w:val="20"/>
        </w:rPr>
        <w:t>aření za rok 2013</w:t>
      </w:r>
      <w:r w:rsidRPr="00DF2D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aktuální algoritmus pro výpočet poměrových ukazatelů, který je uvedený v příloze</w:t>
      </w:r>
      <w:r w:rsidRPr="00DF2D02">
        <w:rPr>
          <w:rFonts w:ascii="Tahoma" w:hAnsi="Tahoma" w:cs="Tahoma"/>
          <w:sz w:val="20"/>
          <w:szCs w:val="20"/>
        </w:rPr>
        <w:t xml:space="preserve">. </w:t>
      </w:r>
    </w:p>
    <w:p w:rsidR="0055392D" w:rsidRPr="00DF2D02" w:rsidRDefault="0055392D" w:rsidP="00431F56">
      <w:pPr>
        <w:pStyle w:val="BodyText"/>
        <w:rPr>
          <w:rFonts w:ascii="Tahoma" w:hAnsi="Tahoma" w:cs="Tahoma"/>
          <w:sz w:val="20"/>
          <w:szCs w:val="20"/>
        </w:rPr>
      </w:pPr>
    </w:p>
    <w:p w:rsidR="0055392D" w:rsidRPr="00DF2D02" w:rsidRDefault="0055392D" w:rsidP="00431F56">
      <w:pPr>
        <w:jc w:val="both"/>
        <w:rPr>
          <w:rFonts w:ascii="Tahoma" w:hAnsi="Tahoma" w:cs="Tahoma"/>
          <w:sz w:val="20"/>
          <w:szCs w:val="20"/>
        </w:rPr>
      </w:pPr>
      <w:r w:rsidRPr="00DF2D02">
        <w:rPr>
          <w:rFonts w:ascii="Tahoma" w:hAnsi="Tahoma" w:cs="Tahoma"/>
          <w:sz w:val="20"/>
          <w:szCs w:val="20"/>
        </w:rPr>
        <w:t>I pro pře</w:t>
      </w:r>
      <w:r>
        <w:rPr>
          <w:rFonts w:ascii="Tahoma" w:hAnsi="Tahoma" w:cs="Tahoma"/>
          <w:sz w:val="20"/>
          <w:szCs w:val="20"/>
        </w:rPr>
        <w:t>zkoumání hospodaření za rok 2013</w:t>
      </w:r>
      <w:r w:rsidRPr="00DF2D02">
        <w:rPr>
          <w:rFonts w:ascii="Tahoma" w:hAnsi="Tahoma" w:cs="Tahoma"/>
          <w:sz w:val="20"/>
          <w:szCs w:val="20"/>
        </w:rPr>
        <w:t xml:space="preserve"> platí, že Ukazatele vypočte územní celek a tento výpočet předá auditorovi ke kontrole. </w:t>
      </w:r>
      <w:r>
        <w:rPr>
          <w:rFonts w:ascii="Tahoma" w:hAnsi="Tahoma" w:cs="Tahoma"/>
          <w:sz w:val="20"/>
          <w:szCs w:val="20"/>
        </w:rPr>
        <w:t>A</w:t>
      </w:r>
      <w:r w:rsidRPr="00DF2D02">
        <w:rPr>
          <w:rFonts w:ascii="Tahoma" w:hAnsi="Tahoma" w:cs="Tahoma"/>
          <w:sz w:val="20"/>
          <w:szCs w:val="20"/>
        </w:rPr>
        <w:t xml:space="preserve">uditor, který vykonává přezkoumání hospodaření daného územního celku, provede svůj nezávislý výpočet, který s výpočtem územního celku porovná. </w:t>
      </w:r>
    </w:p>
    <w:p w:rsidR="0055392D" w:rsidRPr="00DF2D02" w:rsidRDefault="0055392D" w:rsidP="00431F56">
      <w:pPr>
        <w:jc w:val="both"/>
        <w:rPr>
          <w:rFonts w:ascii="Tahoma" w:hAnsi="Tahoma" w:cs="Tahoma"/>
          <w:sz w:val="20"/>
          <w:szCs w:val="20"/>
        </w:rPr>
      </w:pPr>
    </w:p>
    <w:p w:rsidR="0055392D" w:rsidRPr="00DF2D02" w:rsidRDefault="0055392D" w:rsidP="00431F56">
      <w:pPr>
        <w:jc w:val="both"/>
        <w:rPr>
          <w:rFonts w:ascii="Tahoma" w:hAnsi="Tahoma" w:cs="Tahoma"/>
          <w:sz w:val="20"/>
          <w:szCs w:val="20"/>
        </w:rPr>
      </w:pPr>
      <w:r w:rsidRPr="00DF2D02">
        <w:rPr>
          <w:rFonts w:ascii="Tahoma" w:hAnsi="Tahoma" w:cs="Tahoma"/>
          <w:sz w:val="20"/>
          <w:szCs w:val="20"/>
        </w:rPr>
        <w:t>V komentář</w:t>
      </w:r>
      <w:r>
        <w:rPr>
          <w:rFonts w:ascii="Tahoma" w:hAnsi="Tahoma" w:cs="Tahoma"/>
          <w:sz w:val="20"/>
          <w:szCs w:val="20"/>
        </w:rPr>
        <w:t>i k poměrovým ukazatelům uvedený</w:t>
      </w:r>
      <w:r w:rsidRPr="00DF2D02">
        <w:rPr>
          <w:rFonts w:ascii="Tahoma" w:hAnsi="Tahoma" w:cs="Tahoma"/>
          <w:sz w:val="20"/>
          <w:szCs w:val="20"/>
        </w:rPr>
        <w:t>m ve Zprávě o výsledku přezkoumání hospodaření územního celku auditor popíše:</w:t>
      </w:r>
    </w:p>
    <w:p w:rsidR="0055392D" w:rsidRPr="00DF2D02" w:rsidRDefault="0055392D" w:rsidP="00431F56">
      <w:pPr>
        <w:jc w:val="both"/>
        <w:rPr>
          <w:rFonts w:ascii="Tahoma" w:hAnsi="Tahoma" w:cs="Tahoma"/>
          <w:sz w:val="20"/>
          <w:szCs w:val="20"/>
        </w:rPr>
      </w:pPr>
    </w:p>
    <w:p w:rsidR="0055392D" w:rsidRPr="00DF2D02" w:rsidRDefault="0055392D" w:rsidP="00725BA4">
      <w:pPr>
        <w:pStyle w:val="ListParagraph"/>
        <w:numPr>
          <w:ilvl w:val="0"/>
          <w:numId w:val="46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DF2D02">
        <w:rPr>
          <w:rFonts w:ascii="Tahoma" w:hAnsi="Tahoma" w:cs="Tahoma"/>
          <w:sz w:val="20"/>
          <w:szCs w:val="20"/>
          <w:lang w:val="cs-CZ"/>
        </w:rPr>
        <w:t>případné významné odchylky mezi výpoč</w:t>
      </w:r>
      <w:r>
        <w:rPr>
          <w:rFonts w:ascii="Tahoma" w:hAnsi="Tahoma" w:cs="Tahoma"/>
          <w:sz w:val="20"/>
          <w:szCs w:val="20"/>
          <w:lang w:val="cs-CZ"/>
        </w:rPr>
        <w:t>tem provedeným územním celkem a</w:t>
      </w:r>
      <w:r w:rsidRPr="00DF2D02">
        <w:rPr>
          <w:rFonts w:ascii="Tahoma" w:hAnsi="Tahoma" w:cs="Tahoma"/>
          <w:sz w:val="20"/>
          <w:szCs w:val="20"/>
          <w:lang w:val="cs-CZ"/>
        </w:rPr>
        <w:t xml:space="preserve"> auditorem. Zjištěné rozdíly musí auditor před jejich uvedením ve Zprávě o výsledku přezkoumání hospodaření prověřit</w:t>
      </w:r>
      <w:r>
        <w:rPr>
          <w:rFonts w:ascii="Tahoma" w:hAnsi="Tahoma" w:cs="Tahoma"/>
          <w:sz w:val="20"/>
          <w:szCs w:val="20"/>
          <w:lang w:val="cs-CZ"/>
        </w:rPr>
        <w:t xml:space="preserve"> a s územním celkem odsouhlasit;</w:t>
      </w:r>
      <w:r w:rsidRPr="00DF2D02">
        <w:rPr>
          <w:rFonts w:ascii="Tahoma" w:hAnsi="Tahoma" w:cs="Tahoma"/>
          <w:sz w:val="20"/>
          <w:szCs w:val="20"/>
          <w:lang w:val="cs-CZ"/>
        </w:rPr>
        <w:t xml:space="preserve">  </w:t>
      </w:r>
    </w:p>
    <w:p w:rsidR="0055392D" w:rsidRPr="00DF2D02" w:rsidRDefault="0055392D" w:rsidP="00725BA4">
      <w:pPr>
        <w:pStyle w:val="ListParagraph"/>
        <w:numPr>
          <w:ilvl w:val="0"/>
          <w:numId w:val="46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významné rozdíly</w:t>
      </w:r>
      <w:r w:rsidRPr="00DF2D02">
        <w:rPr>
          <w:rFonts w:ascii="Tahoma" w:hAnsi="Tahoma" w:cs="Tahoma"/>
          <w:sz w:val="20"/>
          <w:szCs w:val="20"/>
          <w:lang w:val="cs-CZ"/>
        </w:rPr>
        <w:t xml:space="preserve"> výsledných hodnot ukazatelů p</w:t>
      </w:r>
      <w:r>
        <w:rPr>
          <w:rFonts w:ascii="Tahoma" w:hAnsi="Tahoma" w:cs="Tahoma"/>
          <w:sz w:val="20"/>
          <w:szCs w:val="20"/>
          <w:lang w:val="cs-CZ"/>
        </w:rPr>
        <w:t>ři zohlednění zjištěných chyb a </w:t>
      </w:r>
      <w:r w:rsidRPr="00DF2D02">
        <w:rPr>
          <w:rFonts w:ascii="Tahoma" w:hAnsi="Tahoma" w:cs="Tahoma"/>
          <w:sz w:val="20"/>
          <w:szCs w:val="20"/>
          <w:lang w:val="cs-CZ"/>
        </w:rPr>
        <w:t xml:space="preserve">nedostatků klasifikovaných podle § 10 odst. 3, písm. b) a/nebo c). </w:t>
      </w:r>
    </w:p>
    <w:p w:rsidR="0055392D" w:rsidRDefault="0055392D" w:rsidP="000A15E4">
      <w:pPr>
        <w:pStyle w:val="BodyText"/>
        <w:rPr>
          <w:rFonts w:ascii="Tahoma" w:hAnsi="Tahoma" w:cs="Tahoma"/>
          <w:sz w:val="20"/>
          <w:szCs w:val="20"/>
        </w:rPr>
      </w:pPr>
    </w:p>
    <w:p w:rsidR="0055392D" w:rsidRDefault="0055392D" w:rsidP="000A15E4">
      <w:pPr>
        <w:pStyle w:val="Body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Položky uvedené v algoritmu pro výpočet Ukazatelů jsou položkami: </w:t>
      </w:r>
    </w:p>
    <w:p w:rsidR="0055392D" w:rsidRPr="000A15E4" w:rsidRDefault="0055392D" w:rsidP="000A15E4">
      <w:pPr>
        <w:pStyle w:val="BodyText"/>
        <w:rPr>
          <w:rFonts w:ascii="Tahoma" w:hAnsi="Tahoma" w:cs="Tahoma"/>
          <w:sz w:val="20"/>
          <w:szCs w:val="20"/>
        </w:rPr>
      </w:pPr>
    </w:p>
    <w:p w:rsidR="0055392D" w:rsidRDefault="0055392D" w:rsidP="000A15E4">
      <w:pPr>
        <w:pStyle w:val="BodyText"/>
        <w:numPr>
          <w:ilvl w:val="0"/>
          <w:numId w:val="48"/>
        </w:numPr>
        <w:ind w:left="426" w:hanging="426"/>
        <w:rPr>
          <w:rFonts w:ascii="Tahoma" w:hAnsi="Tahoma" w:cs="Tahoma"/>
          <w:sz w:val="20"/>
          <w:szCs w:val="20"/>
        </w:rPr>
      </w:pPr>
      <w:r w:rsidRPr="000A15E4">
        <w:rPr>
          <w:rFonts w:ascii="Tahoma" w:hAnsi="Tahoma" w:cs="Tahoma"/>
          <w:sz w:val="20"/>
          <w:szCs w:val="20"/>
        </w:rPr>
        <w:t>rozvahy</w:t>
      </w:r>
      <w:r>
        <w:rPr>
          <w:rFonts w:ascii="Tahoma" w:hAnsi="Tahoma" w:cs="Tahoma"/>
          <w:sz w:val="20"/>
          <w:szCs w:val="20"/>
        </w:rPr>
        <w:t xml:space="preserve"> a výkazu zisku a ztráty </w:t>
      </w:r>
      <w:r w:rsidRPr="000A15E4">
        <w:rPr>
          <w:rFonts w:ascii="Tahoma" w:hAnsi="Tahoma" w:cs="Tahoma"/>
          <w:sz w:val="20"/>
          <w:szCs w:val="20"/>
        </w:rPr>
        <w:t>pro územní samosprávné celky, svazky obcí, regionální rady regionů soudržnosti</w:t>
      </w:r>
      <w:r>
        <w:rPr>
          <w:rFonts w:ascii="Tahoma" w:hAnsi="Tahoma" w:cs="Tahoma"/>
          <w:sz w:val="20"/>
          <w:szCs w:val="20"/>
        </w:rPr>
        <w:t xml:space="preserve"> (příloha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ahoma" w:hAnsi="Tahoma" w:cs="Tahoma"/>
            <w:sz w:val="20"/>
            <w:szCs w:val="20"/>
          </w:rPr>
          <w:t>1 a</w:t>
        </w:r>
      </w:smartTag>
      <w:r>
        <w:rPr>
          <w:rFonts w:ascii="Tahoma" w:hAnsi="Tahoma" w:cs="Tahoma"/>
          <w:sz w:val="20"/>
          <w:szCs w:val="20"/>
        </w:rPr>
        <w:t xml:space="preserve"> 2 k vyhlášce č. 410/2009 Sb., kterou se provádějí některá ustanovení zákona č. 563/1991 Sb., o účetnictví, ve znění pozdějších předpisů, pro některé vybrané účetní jednotky)</w:t>
      </w:r>
      <w:r>
        <w:rPr>
          <w:rFonts w:ascii="Tahoma" w:hAnsi="Tahoma" w:cs="Tahoma"/>
          <w:sz w:val="20"/>
          <w:szCs w:val="20"/>
          <w:lang w:val="en-US"/>
        </w:rPr>
        <w:t>;</w:t>
      </w:r>
    </w:p>
    <w:p w:rsidR="0055392D" w:rsidRPr="000A15E4" w:rsidRDefault="0055392D" w:rsidP="000A15E4">
      <w:pPr>
        <w:pStyle w:val="BodyText"/>
        <w:numPr>
          <w:ilvl w:val="0"/>
          <w:numId w:val="48"/>
        </w:num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výkazu pro hodnocení plnění rozpočtu územních samosprávných celků, dobrovolných svazků obcí a regionálních rad - FIN 1-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Tahoma" w:hAnsi="Tahoma" w:cs="Tahoma"/>
            <w:sz w:val="20"/>
            <w:szCs w:val="20"/>
          </w:rPr>
          <w:t>12 M</w:t>
        </w:r>
      </w:smartTag>
      <w:r>
        <w:rPr>
          <w:rFonts w:ascii="Tahoma" w:hAnsi="Tahoma" w:cs="Tahoma"/>
          <w:sz w:val="20"/>
          <w:szCs w:val="20"/>
        </w:rPr>
        <w:t xml:space="preserve"> (příloha č. 2 k vyhlášce č. 449/2009 Sb., o způsobu, termínech a rozsahu údajů předkládaných pro hodnocení plnění státního rozpočtu, rozpočtů státních fondů, rozpočtů územních samosprávných celků, rozpočtů dobrovolných svazků obcí a rozpočtů Regionálních rad regionů soudržnosti).</w:t>
      </w:r>
    </w:p>
    <w:p w:rsidR="0055392D" w:rsidRDefault="0055392D" w:rsidP="00926186">
      <w:pPr>
        <w:pStyle w:val="BodyText"/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55392D" w:rsidRDefault="0055392D" w:rsidP="00E0377E">
      <w:pPr>
        <w:pStyle w:val="BodyText"/>
        <w:ind w:left="426" w:hanging="426"/>
        <w:rPr>
          <w:rFonts w:ascii="Tahoma" w:hAnsi="Tahoma" w:cs="Tahoma"/>
          <w:i/>
          <w:iCs/>
          <w:sz w:val="18"/>
          <w:szCs w:val="18"/>
        </w:rPr>
      </w:pPr>
      <w:r w:rsidRPr="00DF2D02">
        <w:rPr>
          <w:rFonts w:ascii="Tahoma" w:hAnsi="Tahoma" w:cs="Tahoma"/>
          <w:i/>
          <w:iCs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ab/>
      </w:r>
      <w:r w:rsidRPr="00E0377E">
        <w:rPr>
          <w:rFonts w:ascii="Tahoma" w:hAnsi="Tahoma" w:cs="Tahoma"/>
          <w:i/>
          <w:iCs/>
          <w:sz w:val="18"/>
          <w:szCs w:val="18"/>
        </w:rPr>
        <w:t>Územní celek je legislativní zkratka zavedená v § 1 zákona č. 420/2004 Sb. o přezkoumávání hospodaření územních samosprávných celků a dobrovolných svazků obcí zahrnující obce, dobrovolné svazky obcí, kraje, městské části hlavního města Prahy, hlavní město Prahu a Regionální rady regionů soudržnosti.</w:t>
      </w:r>
    </w:p>
    <w:p w:rsidR="0055392D" w:rsidRDefault="0055392D" w:rsidP="00E0377E">
      <w:pPr>
        <w:pStyle w:val="BodyText"/>
        <w:ind w:left="426" w:hanging="426"/>
        <w:rPr>
          <w:rFonts w:ascii="Tahoma" w:hAnsi="Tahoma" w:cs="Tahoma"/>
          <w:sz w:val="18"/>
          <w:szCs w:val="18"/>
        </w:rPr>
      </w:pPr>
    </w:p>
    <w:p w:rsidR="0055392D" w:rsidRDefault="0055392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55392D" w:rsidRPr="00611388" w:rsidRDefault="0055392D" w:rsidP="00611388">
      <w:pPr>
        <w:rPr>
          <w:rFonts w:ascii="Tahoma" w:hAnsi="Tahoma" w:cs="Tahoma"/>
          <w:i/>
          <w:sz w:val="20"/>
          <w:szCs w:val="20"/>
        </w:rPr>
      </w:pPr>
      <w:r w:rsidRPr="00611388">
        <w:rPr>
          <w:rFonts w:ascii="Tahoma" w:hAnsi="Tahoma" w:cs="Tahoma"/>
          <w:sz w:val="20"/>
          <w:szCs w:val="20"/>
        </w:rPr>
        <w:t>Příloha</w:t>
      </w:r>
    </w:p>
    <w:p w:rsidR="0055392D" w:rsidRPr="00611388" w:rsidRDefault="0055392D" w:rsidP="00611388">
      <w:pPr>
        <w:jc w:val="center"/>
        <w:rPr>
          <w:rFonts w:ascii="Tahoma" w:hAnsi="Tahoma" w:cs="Tahoma"/>
          <w:b/>
          <w:sz w:val="20"/>
          <w:szCs w:val="20"/>
        </w:rPr>
      </w:pPr>
    </w:p>
    <w:p w:rsidR="0055392D" w:rsidRDefault="0055392D" w:rsidP="00300E92">
      <w:pPr>
        <w:jc w:val="center"/>
        <w:rPr>
          <w:rFonts w:ascii="Tahoma" w:hAnsi="Tahoma" w:cs="Tahoma"/>
          <w:b/>
          <w:sz w:val="20"/>
          <w:szCs w:val="20"/>
        </w:rPr>
      </w:pPr>
      <w:r w:rsidRPr="00611388">
        <w:rPr>
          <w:rFonts w:ascii="Tahoma" w:hAnsi="Tahoma" w:cs="Tahoma"/>
          <w:b/>
          <w:sz w:val="20"/>
          <w:szCs w:val="20"/>
        </w:rPr>
        <w:t xml:space="preserve">Algoritmus pro výpočet ukazatelů podle ustanovení § 10 odst. 4 písm. </w:t>
      </w:r>
      <w:r>
        <w:rPr>
          <w:rFonts w:ascii="Tahoma" w:hAnsi="Tahoma" w:cs="Tahoma"/>
          <w:b/>
          <w:sz w:val="20"/>
          <w:szCs w:val="20"/>
        </w:rPr>
        <w:t xml:space="preserve">b) </w:t>
      </w:r>
      <w:r w:rsidRPr="00611388">
        <w:rPr>
          <w:rFonts w:ascii="Tahoma" w:hAnsi="Tahoma" w:cs="Tahoma"/>
          <w:b/>
          <w:sz w:val="20"/>
          <w:szCs w:val="20"/>
        </w:rPr>
        <w:t xml:space="preserve">zákona </w:t>
      </w:r>
    </w:p>
    <w:p w:rsidR="0055392D" w:rsidRPr="00611388" w:rsidRDefault="0055392D" w:rsidP="00300E92">
      <w:pPr>
        <w:jc w:val="center"/>
        <w:rPr>
          <w:rFonts w:ascii="Tahoma" w:hAnsi="Tahoma" w:cs="Tahoma"/>
          <w:b/>
          <w:sz w:val="20"/>
          <w:szCs w:val="20"/>
        </w:rPr>
      </w:pPr>
      <w:r w:rsidRPr="00611388">
        <w:rPr>
          <w:rFonts w:ascii="Tahoma" w:hAnsi="Tahoma" w:cs="Tahoma"/>
          <w:b/>
          <w:sz w:val="20"/>
          <w:szCs w:val="20"/>
        </w:rPr>
        <w:t>č. 420/2004 Sb. pro přezkoumání hospodaření za rok 2013</w:t>
      </w:r>
    </w:p>
    <w:p w:rsidR="0055392D" w:rsidRPr="00611388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</w:p>
    <w:p w:rsidR="0055392D" w:rsidRPr="00611388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  <w:r w:rsidRPr="00611388">
        <w:rPr>
          <w:rFonts w:ascii="Tahoma" w:hAnsi="Tahoma" w:cs="Tahoma"/>
          <w:b/>
          <w:sz w:val="20"/>
          <w:szCs w:val="20"/>
        </w:rPr>
        <w:t>I. Podíl pohledávek na rozpočtu</w:t>
      </w:r>
    </w:p>
    <w:p w:rsidR="0055392D" w:rsidRPr="00611388" w:rsidRDefault="0055392D" w:rsidP="0061138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11388">
        <w:rPr>
          <w:rFonts w:ascii="Tahoma" w:hAnsi="Tahoma" w:cs="Tahoma"/>
          <w:b/>
          <w:sz w:val="20"/>
          <w:szCs w:val="20"/>
          <w:u w:val="single"/>
        </w:rPr>
        <w:t>A x 100 (%)</w:t>
      </w:r>
    </w:p>
    <w:p w:rsidR="0055392D" w:rsidRPr="00611388" w:rsidRDefault="0055392D" w:rsidP="00611388">
      <w:pPr>
        <w:jc w:val="center"/>
        <w:rPr>
          <w:rFonts w:ascii="Tahoma" w:hAnsi="Tahoma" w:cs="Tahoma"/>
          <w:b/>
          <w:sz w:val="20"/>
          <w:szCs w:val="20"/>
        </w:rPr>
      </w:pPr>
      <w:r w:rsidRPr="00611388">
        <w:rPr>
          <w:rFonts w:ascii="Tahoma" w:hAnsi="Tahoma" w:cs="Tahoma"/>
          <w:b/>
          <w:sz w:val="20"/>
          <w:szCs w:val="20"/>
        </w:rPr>
        <w:t>B</w:t>
      </w:r>
    </w:p>
    <w:p w:rsidR="0055392D" w:rsidRPr="00300E92" w:rsidRDefault="0055392D" w:rsidP="00300E92">
      <w:pPr>
        <w:pStyle w:val="ListParagraph"/>
        <w:numPr>
          <w:ilvl w:val="0"/>
          <w:numId w:val="50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300E92">
        <w:rPr>
          <w:rFonts w:ascii="Tahoma" w:hAnsi="Tahoma" w:cs="Tahoma"/>
          <w:b/>
          <w:sz w:val="20"/>
          <w:szCs w:val="20"/>
        </w:rPr>
        <w:t>Vymezení pohledávek</w:t>
      </w:r>
    </w:p>
    <w:p w:rsidR="0055392D" w:rsidRPr="00611388" w:rsidRDefault="0055392D" w:rsidP="00611388">
      <w:pPr>
        <w:tabs>
          <w:tab w:val="left" w:pos="3544"/>
        </w:tabs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72C7E7"/>
          <w:insideH w:val="single" w:sz="4" w:space="0" w:color="72C7E7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3572"/>
        <w:gridCol w:w="5554"/>
      </w:tblGrid>
      <w:tr w:rsidR="0055392D" w:rsidTr="00B7602E">
        <w:tc>
          <w:tcPr>
            <w:tcW w:w="3572" w:type="dxa"/>
            <w:shd w:val="clear" w:color="auto" w:fill="72C7E7"/>
          </w:tcPr>
          <w:p w:rsidR="0055392D" w:rsidRPr="00B7602E" w:rsidRDefault="0055392D" w:rsidP="00B7602E">
            <w:pPr>
              <w:tabs>
                <w:tab w:val="left" w:pos="3544"/>
              </w:tabs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7602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Dlouhodobé pohledávky (NETTO)</w:t>
            </w:r>
          </w:p>
        </w:tc>
        <w:tc>
          <w:tcPr>
            <w:tcW w:w="5554" w:type="dxa"/>
            <w:shd w:val="clear" w:color="auto" w:fill="72C7E7"/>
          </w:tcPr>
          <w:p w:rsidR="0055392D" w:rsidRPr="00B7602E" w:rsidRDefault="0055392D" w:rsidP="00B7602E">
            <w:pPr>
              <w:tabs>
                <w:tab w:val="left" w:pos="3544"/>
              </w:tabs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7602E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Dlouhodobé pohledávky vztahující se pouze k následujícímu rozpočtovému roku pokud výše splátek k inkasu v následujícím roce je stanovena smlouvou</w:t>
            </w:r>
            <w:r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,</w:t>
            </w:r>
            <w:r w:rsidRPr="00B7602E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 xml:space="preserve"> resp. splátkovým kalendářem.</w:t>
            </w:r>
          </w:p>
        </w:tc>
      </w:tr>
    </w:tbl>
    <w:p w:rsidR="0055392D" w:rsidRPr="00611388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p w:rsidR="0055392D" w:rsidRPr="00611388" w:rsidRDefault="0055392D" w:rsidP="00611388">
      <w:pPr>
        <w:jc w:val="both"/>
        <w:rPr>
          <w:rFonts w:ascii="Tahoma" w:hAnsi="Tahoma" w:cs="Tahoma"/>
          <w:sz w:val="20"/>
          <w:szCs w:val="20"/>
        </w:rPr>
      </w:pPr>
      <w:r w:rsidRPr="00611388">
        <w:rPr>
          <w:rFonts w:ascii="Tahoma" w:hAnsi="Tahoma" w:cs="Tahoma"/>
          <w:sz w:val="20"/>
          <w:szCs w:val="20"/>
        </w:rPr>
        <w:t>Do komentáře k tomuto poměrovému ukazateli je nutné uvést celkovou hodnotu dlouhodobých pohledávek územního celku.</w:t>
      </w:r>
    </w:p>
    <w:p w:rsidR="0055392D" w:rsidRPr="00F64DE7" w:rsidRDefault="0055392D" w:rsidP="00300E92">
      <w:pPr>
        <w:ind w:left="142"/>
        <w:jc w:val="both"/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0A0"/>
      </w:tblPr>
      <w:tblGrid>
        <w:gridCol w:w="284"/>
        <w:gridCol w:w="9072"/>
      </w:tblGrid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300E92">
            <w:pP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K</w:t>
            </w:r>
            <w:r w:rsidRPr="00300E92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 xml:space="preserve">rátkodobé pohledávky </w:t>
            </w:r>
            <w: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(</w:t>
            </w:r>
            <w:r w:rsidRPr="00300E92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NETTO</w:t>
            </w:r>
            <w: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)</w:t>
            </w:r>
            <w:r w:rsidRPr="00300E92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Odběratelé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311)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Směnky k inkasu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312)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Pohledávky za eskontované cenné papíry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313)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Jiné pohledávky z hlavní činnosti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315)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Poskytnuté návratné finanční výpomoci krátkodobé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316)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Krátkodobé pohledávky z postoupených úvěrů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317)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Pohledávky za zaměstnanci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335)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Zúčtování s institucemi sociálního zabezpečení a zdravotního pojištění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336)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Jiné přímé daně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342)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Daň z přidané hodnoty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343)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Pohledávky za vybranými ústředními vládními institucemi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346)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Pohledávky za vybranými místními vládními institucemi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348)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Krátkodobé pohledávky z ručení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361)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Pevné termínované operace a obce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363)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Pohledávky z finančního zajištění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365)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Pohledávky z vydaných dluhopisů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367)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Krátkodobé pohledávky z nástrojů spolufinancovaných ze zahraničí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371)</w:t>
            </w:r>
          </w:p>
        </w:tc>
      </w:tr>
      <w:tr w:rsidR="0055392D" w:rsidRPr="00300E92" w:rsidTr="00300E92">
        <w:trPr>
          <w:trHeight w:val="330"/>
        </w:trPr>
        <w:tc>
          <w:tcPr>
            <w:tcW w:w="284" w:type="dxa"/>
            <w:noWrap/>
            <w:vAlign w:val="bottom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300E92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Ostatní krátkodobé pohledávky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00E92">
              <w:rPr>
                <w:rFonts w:ascii="Tahoma" w:hAnsi="Tahoma" w:cs="Tahoma"/>
                <w:color w:val="000000"/>
                <w:sz w:val="20"/>
                <w:szCs w:val="20"/>
              </w:rPr>
              <w:t>377)</w:t>
            </w:r>
          </w:p>
        </w:tc>
      </w:tr>
    </w:tbl>
    <w:p w:rsidR="0055392D" w:rsidRDefault="0055392D" w:rsidP="00611388">
      <w:pPr>
        <w:spacing w:before="100"/>
        <w:jc w:val="both"/>
        <w:rPr>
          <w:b/>
          <w:sz w:val="32"/>
        </w:rPr>
      </w:pPr>
    </w:p>
    <w:p w:rsidR="0055392D" w:rsidRDefault="0055392D">
      <w:pPr>
        <w:rPr>
          <w:b/>
          <w:sz w:val="32"/>
        </w:rPr>
      </w:pPr>
      <w:r>
        <w:rPr>
          <w:b/>
          <w:sz w:val="32"/>
        </w:rPr>
        <w:br w:type="page"/>
      </w:r>
    </w:p>
    <w:p w:rsidR="0055392D" w:rsidRPr="007026E6" w:rsidRDefault="0055392D" w:rsidP="007026E6">
      <w:pPr>
        <w:pStyle w:val="ListParagraph"/>
        <w:numPr>
          <w:ilvl w:val="0"/>
          <w:numId w:val="50"/>
        </w:numPr>
        <w:spacing w:before="10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7026E6">
        <w:rPr>
          <w:rFonts w:ascii="Tahoma" w:hAnsi="Tahoma" w:cs="Tahoma"/>
          <w:b/>
          <w:sz w:val="20"/>
          <w:szCs w:val="20"/>
        </w:rPr>
        <w:t>Vymezení rozpočtových příjmů</w:t>
      </w:r>
    </w:p>
    <w:p w:rsidR="0055392D" w:rsidRPr="00300E92" w:rsidRDefault="0055392D" w:rsidP="00611388">
      <w:pPr>
        <w:jc w:val="both"/>
      </w:pPr>
    </w:p>
    <w:p w:rsidR="0055392D" w:rsidRPr="00300E92" w:rsidRDefault="0055392D" w:rsidP="00611388">
      <w:pPr>
        <w:jc w:val="both"/>
        <w:rPr>
          <w:rFonts w:ascii="Tahoma" w:hAnsi="Tahoma" w:cs="Tahoma"/>
          <w:sz w:val="20"/>
          <w:szCs w:val="20"/>
        </w:rPr>
      </w:pPr>
      <w:r w:rsidRPr="00300E92">
        <w:rPr>
          <w:rFonts w:ascii="Tahoma" w:hAnsi="Tahoma" w:cs="Tahoma"/>
          <w:sz w:val="20"/>
          <w:szCs w:val="20"/>
        </w:rPr>
        <w:t>Příjmy celkem po konsolidaci + zisk po zdanění z hospodářské činnosti</w:t>
      </w:r>
    </w:p>
    <w:p w:rsidR="0055392D" w:rsidRPr="00300E92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</w:p>
    <w:p w:rsidR="0055392D" w:rsidRPr="00300E92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  <w:r w:rsidRPr="00300E92">
        <w:rPr>
          <w:rFonts w:ascii="Tahoma" w:hAnsi="Tahoma" w:cs="Tahoma"/>
          <w:b/>
          <w:sz w:val="20"/>
          <w:szCs w:val="20"/>
        </w:rPr>
        <w:t>II. Podíl závazků na rozpočtu</w:t>
      </w:r>
    </w:p>
    <w:p w:rsidR="0055392D" w:rsidRPr="00300E92" w:rsidRDefault="0055392D" w:rsidP="0061138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00E92">
        <w:rPr>
          <w:rFonts w:ascii="Tahoma" w:hAnsi="Tahoma" w:cs="Tahoma"/>
          <w:b/>
          <w:sz w:val="20"/>
          <w:szCs w:val="20"/>
          <w:u w:val="single"/>
        </w:rPr>
        <w:t>C x 100 (%)</w:t>
      </w:r>
    </w:p>
    <w:p w:rsidR="0055392D" w:rsidRPr="00300E92" w:rsidRDefault="0055392D" w:rsidP="00611388">
      <w:pPr>
        <w:jc w:val="center"/>
        <w:rPr>
          <w:rFonts w:ascii="Tahoma" w:hAnsi="Tahoma" w:cs="Tahoma"/>
          <w:b/>
          <w:sz w:val="20"/>
          <w:szCs w:val="20"/>
        </w:rPr>
      </w:pPr>
      <w:r w:rsidRPr="00300E92">
        <w:rPr>
          <w:rFonts w:ascii="Tahoma" w:hAnsi="Tahoma" w:cs="Tahoma"/>
          <w:b/>
          <w:sz w:val="20"/>
          <w:szCs w:val="20"/>
        </w:rPr>
        <w:t>B</w:t>
      </w:r>
    </w:p>
    <w:p w:rsidR="0055392D" w:rsidRPr="007026E6" w:rsidRDefault="0055392D" w:rsidP="007026E6">
      <w:pPr>
        <w:pStyle w:val="ListParagraph"/>
        <w:numPr>
          <w:ilvl w:val="0"/>
          <w:numId w:val="50"/>
        </w:numPr>
        <w:spacing w:before="10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7026E6">
        <w:rPr>
          <w:rFonts w:ascii="Tahoma" w:hAnsi="Tahoma" w:cs="Tahoma"/>
          <w:b/>
          <w:sz w:val="20"/>
          <w:szCs w:val="20"/>
        </w:rPr>
        <w:t>Vymezení závazků</w:t>
      </w:r>
    </w:p>
    <w:p w:rsidR="0055392D" w:rsidRPr="00300E92" w:rsidRDefault="0055392D" w:rsidP="00611388">
      <w:pPr>
        <w:tabs>
          <w:tab w:val="left" w:pos="3544"/>
        </w:tabs>
        <w:ind w:left="3544" w:hanging="3544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72C7E7"/>
          <w:insideH w:val="single" w:sz="4" w:space="0" w:color="72C7E7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3714"/>
        <w:gridCol w:w="5386"/>
      </w:tblGrid>
      <w:tr w:rsidR="0055392D" w:rsidTr="00B7602E">
        <w:tc>
          <w:tcPr>
            <w:tcW w:w="3714" w:type="dxa"/>
            <w:shd w:val="clear" w:color="auto" w:fill="72C7E7"/>
          </w:tcPr>
          <w:p w:rsidR="0055392D" w:rsidRPr="00B7602E" w:rsidRDefault="0055392D" w:rsidP="007026E6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7602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Dlouhodobé závazky</w:t>
            </w:r>
          </w:p>
        </w:tc>
        <w:tc>
          <w:tcPr>
            <w:tcW w:w="5386" w:type="dxa"/>
            <w:shd w:val="clear" w:color="auto" w:fill="72C7E7"/>
          </w:tcPr>
          <w:p w:rsidR="0055392D" w:rsidRPr="00B7602E" w:rsidRDefault="0055392D" w:rsidP="007026E6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7602E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Dlouhodobé závazky pouze do výše splátek stanovených ve splátkovém kalendáři resp. smlouvě v následujícím roce.</w:t>
            </w:r>
          </w:p>
        </w:tc>
      </w:tr>
    </w:tbl>
    <w:p w:rsidR="0055392D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p w:rsidR="0055392D" w:rsidRDefault="0055392D" w:rsidP="00611388">
      <w:pPr>
        <w:jc w:val="both"/>
        <w:rPr>
          <w:rFonts w:ascii="Tahoma" w:hAnsi="Tahoma" w:cs="Tahoma"/>
          <w:sz w:val="20"/>
          <w:szCs w:val="20"/>
        </w:rPr>
      </w:pPr>
      <w:r w:rsidRPr="00300E92">
        <w:rPr>
          <w:rFonts w:ascii="Tahoma" w:hAnsi="Tahoma" w:cs="Tahoma"/>
          <w:sz w:val="20"/>
          <w:szCs w:val="20"/>
        </w:rPr>
        <w:t>Do komentáře k tomuto poměrovému ukazateli je nutné uvést celkovou hodnotu dlouhodobých závazků územního celku.</w:t>
      </w:r>
    </w:p>
    <w:p w:rsidR="0055392D" w:rsidRPr="00300E92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-356" w:type="dxa"/>
        <w:tblCellMar>
          <w:left w:w="70" w:type="dxa"/>
          <w:right w:w="70" w:type="dxa"/>
        </w:tblCellMar>
        <w:tblLook w:val="00A0"/>
      </w:tblPr>
      <w:tblGrid>
        <w:gridCol w:w="426"/>
        <w:gridCol w:w="9072"/>
      </w:tblGrid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Krátkodobé závazky: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Krátkodobé úvěry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281)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Eskontované krátkodobé dluhopisy (směnky)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282)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Krátkodobé závazky z vydaných dluhopisů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283)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Jiné krátkodobé půjčky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289)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Dodavatelé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321)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Směnky k úhradě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322)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Závazky z dělené správy a kaucí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325)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Přijaté návratné finanční výpomoci krátkodobé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326)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Zaměstnanci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331)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Jiné závazky vůči zaměstnancům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333)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Zúčtování s institucemi sociálního zabezpečení a zdravotního pojištění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336)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Jiné přímé daně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342)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Daň z přidané hodnoty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343)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Jiné daně a poplatky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344)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Závazky k osobám mimo vybrané vládní instituce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345)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Závazky k vybraným ústředním vládním institucím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347)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Závazky k vybraným místním vládním institucím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349)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Krátkodobé závazky z ručení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362)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Pevné termínované operace a opce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363)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Závazky z finančního zajištění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366)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Závazky z upsaných nesplacených cenných papírů a podílů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368)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Krátkodobé závazky z nástrojů spolufinancovaných ze zahraničí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372)</w:t>
            </w:r>
          </w:p>
        </w:tc>
      </w:tr>
      <w:tr w:rsidR="0055392D" w:rsidRPr="007026E6" w:rsidTr="00E11E2B">
        <w:trPr>
          <w:trHeight w:val="330"/>
        </w:trPr>
        <w:tc>
          <w:tcPr>
            <w:tcW w:w="426" w:type="dxa"/>
            <w:noWrap/>
            <w:vAlign w:val="bottom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/>
            <w:noWrap/>
            <w:vAlign w:val="center"/>
          </w:tcPr>
          <w:p w:rsidR="0055392D" w:rsidRPr="007026E6" w:rsidRDefault="0055392D" w:rsidP="00BB4B11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Ostatní krátkodobé závazky (č.ú.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026E6">
              <w:rPr>
                <w:rFonts w:ascii="Tahoma" w:hAnsi="Tahoma" w:cs="Tahoma"/>
                <w:color w:val="000000"/>
                <w:sz w:val="20"/>
                <w:szCs w:val="20"/>
              </w:rPr>
              <w:t>378)</w:t>
            </w:r>
          </w:p>
        </w:tc>
      </w:tr>
    </w:tbl>
    <w:p w:rsidR="0055392D" w:rsidRDefault="0055392D" w:rsidP="00611388">
      <w:pPr>
        <w:jc w:val="both"/>
        <w:rPr>
          <w:b/>
          <w:sz w:val="32"/>
        </w:rPr>
      </w:pPr>
    </w:p>
    <w:p w:rsidR="0055392D" w:rsidRDefault="0055392D" w:rsidP="00611388">
      <w:r>
        <w:br w:type="page"/>
      </w:r>
    </w:p>
    <w:p w:rsidR="0055392D" w:rsidRPr="00E11E2B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  <w:r w:rsidRPr="00E11E2B">
        <w:rPr>
          <w:rFonts w:ascii="Tahoma" w:hAnsi="Tahoma" w:cs="Tahoma"/>
          <w:b/>
          <w:sz w:val="20"/>
          <w:szCs w:val="20"/>
        </w:rPr>
        <w:t>III. Podíl zastaveného majetku na celkovém majetku územního celku</w:t>
      </w:r>
    </w:p>
    <w:p w:rsidR="0055392D" w:rsidRPr="00E11E2B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p w:rsidR="0055392D" w:rsidRPr="00E11E2B" w:rsidRDefault="0055392D" w:rsidP="0061138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E2B">
        <w:rPr>
          <w:rFonts w:ascii="Tahoma" w:hAnsi="Tahoma" w:cs="Tahoma"/>
          <w:b/>
          <w:sz w:val="20"/>
          <w:szCs w:val="20"/>
          <w:u w:val="single"/>
        </w:rPr>
        <w:t>D x 100 (%)</w:t>
      </w:r>
    </w:p>
    <w:p w:rsidR="0055392D" w:rsidRPr="00E11E2B" w:rsidRDefault="0055392D" w:rsidP="00611388">
      <w:pPr>
        <w:jc w:val="center"/>
        <w:rPr>
          <w:rFonts w:ascii="Tahoma" w:hAnsi="Tahoma" w:cs="Tahoma"/>
          <w:b/>
          <w:sz w:val="20"/>
          <w:szCs w:val="20"/>
        </w:rPr>
      </w:pPr>
      <w:r w:rsidRPr="00E11E2B">
        <w:rPr>
          <w:rFonts w:ascii="Tahoma" w:hAnsi="Tahoma" w:cs="Tahoma"/>
          <w:b/>
          <w:sz w:val="20"/>
          <w:szCs w:val="20"/>
        </w:rPr>
        <w:t>E</w:t>
      </w:r>
    </w:p>
    <w:p w:rsidR="0055392D" w:rsidRPr="00E11E2B" w:rsidRDefault="0055392D" w:rsidP="00E11E2B">
      <w:pPr>
        <w:pStyle w:val="ListParagraph"/>
        <w:numPr>
          <w:ilvl w:val="0"/>
          <w:numId w:val="50"/>
        </w:numPr>
        <w:spacing w:before="100"/>
        <w:ind w:left="284" w:hanging="284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E11E2B">
        <w:rPr>
          <w:rFonts w:ascii="Tahoma" w:hAnsi="Tahoma" w:cs="Tahoma"/>
          <w:b/>
          <w:sz w:val="20"/>
          <w:szCs w:val="20"/>
          <w:lang w:val="cs-CZ"/>
        </w:rPr>
        <w:t xml:space="preserve">Vymezení zastaveného majetku </w:t>
      </w:r>
    </w:p>
    <w:p w:rsidR="0055392D" w:rsidRPr="00E11E2B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p w:rsidR="0055392D" w:rsidRPr="00E11E2B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  <w:r w:rsidRPr="00E11E2B">
        <w:rPr>
          <w:rFonts w:ascii="Tahoma" w:hAnsi="Tahoma" w:cs="Tahoma"/>
          <w:sz w:val="20"/>
          <w:szCs w:val="20"/>
        </w:rPr>
        <w:t>Zastavený movitý a nemovitý majetek dle inventurních soupisů a analytických účtů, případně operativní evidence, doložený výpisem z LV a</w:t>
      </w:r>
      <w:r>
        <w:rPr>
          <w:rFonts w:ascii="Tahoma" w:hAnsi="Tahoma" w:cs="Tahoma"/>
          <w:sz w:val="20"/>
          <w:szCs w:val="20"/>
        </w:rPr>
        <w:t xml:space="preserve"> úvěrovými smlouvami v hodnotě </w:t>
      </w:r>
      <w:r w:rsidRPr="00E11E2B">
        <w:rPr>
          <w:rFonts w:ascii="Tahoma" w:hAnsi="Tahoma" w:cs="Tahoma"/>
          <w:b/>
          <w:sz w:val="20"/>
          <w:szCs w:val="20"/>
        </w:rPr>
        <w:t>BRUTTO (sloupec  1).</w:t>
      </w:r>
    </w:p>
    <w:p w:rsidR="0055392D" w:rsidRPr="00E11E2B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</w:p>
    <w:p w:rsidR="0055392D" w:rsidRPr="00E11E2B" w:rsidRDefault="0055392D" w:rsidP="00E11E2B">
      <w:pPr>
        <w:pStyle w:val="ListParagraph"/>
        <w:numPr>
          <w:ilvl w:val="0"/>
          <w:numId w:val="50"/>
        </w:numPr>
        <w:spacing w:before="100"/>
        <w:ind w:left="284" w:hanging="284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E11E2B">
        <w:rPr>
          <w:rFonts w:ascii="Tahoma" w:hAnsi="Tahoma" w:cs="Tahoma"/>
          <w:b/>
          <w:sz w:val="20"/>
          <w:szCs w:val="20"/>
          <w:lang w:val="cs-CZ"/>
        </w:rPr>
        <w:t>Vymezení majetku pro výpočet ukazatele</w:t>
      </w:r>
    </w:p>
    <w:p w:rsidR="0055392D" w:rsidRPr="00E11E2B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p w:rsidR="0055392D" w:rsidRPr="00E11E2B" w:rsidRDefault="0055392D" w:rsidP="00611388">
      <w:pPr>
        <w:jc w:val="both"/>
        <w:rPr>
          <w:rFonts w:ascii="Tahoma" w:hAnsi="Tahoma" w:cs="Tahoma"/>
          <w:b/>
          <w:sz w:val="20"/>
          <w:szCs w:val="20"/>
        </w:rPr>
      </w:pPr>
      <w:r w:rsidRPr="00E11E2B">
        <w:rPr>
          <w:rFonts w:ascii="Tahoma" w:hAnsi="Tahoma" w:cs="Tahoma"/>
          <w:sz w:val="20"/>
          <w:szCs w:val="20"/>
        </w:rPr>
        <w:t xml:space="preserve">Část A. - Stálá aktiva v hodnotě </w:t>
      </w:r>
      <w:r w:rsidRPr="00E11E2B">
        <w:rPr>
          <w:rFonts w:ascii="Tahoma" w:hAnsi="Tahoma" w:cs="Tahoma"/>
          <w:b/>
          <w:sz w:val="20"/>
          <w:szCs w:val="20"/>
        </w:rPr>
        <w:t>BRUTTO (sloupec 1).</w:t>
      </w:r>
    </w:p>
    <w:p w:rsidR="0055392D" w:rsidRPr="00E11E2B" w:rsidRDefault="0055392D" w:rsidP="00611388">
      <w:pPr>
        <w:jc w:val="both"/>
        <w:rPr>
          <w:rFonts w:ascii="Tahoma" w:hAnsi="Tahoma" w:cs="Tahoma"/>
          <w:sz w:val="20"/>
          <w:szCs w:val="20"/>
        </w:rPr>
      </w:pPr>
    </w:p>
    <w:p w:rsidR="0055392D" w:rsidRPr="00E11E2B" w:rsidRDefault="0055392D" w:rsidP="00E0377E">
      <w:pPr>
        <w:pStyle w:val="BodyText"/>
        <w:ind w:left="426" w:hanging="426"/>
        <w:rPr>
          <w:rFonts w:ascii="Tahoma" w:hAnsi="Tahoma" w:cs="Tahoma"/>
          <w:sz w:val="20"/>
          <w:szCs w:val="20"/>
        </w:rPr>
      </w:pPr>
    </w:p>
    <w:sectPr w:rsidR="0055392D" w:rsidRPr="00E11E2B" w:rsidSect="00B12C8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aperSrc w:first="15" w:other="15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2D" w:rsidRDefault="0055392D">
      <w:r>
        <w:separator/>
      </w:r>
    </w:p>
    <w:p w:rsidR="0055392D" w:rsidRDefault="0055392D"/>
  </w:endnote>
  <w:endnote w:type="continuationSeparator" w:id="0">
    <w:p w:rsidR="0055392D" w:rsidRDefault="0055392D">
      <w:r>
        <w:continuationSeparator/>
      </w:r>
    </w:p>
    <w:p w:rsidR="0055392D" w:rsidRDefault="005539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2D" w:rsidRPr="003530AF" w:rsidRDefault="0055392D" w:rsidP="003530A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2D" w:rsidRDefault="0055392D">
      <w:r>
        <w:separator/>
      </w:r>
    </w:p>
    <w:p w:rsidR="0055392D" w:rsidRDefault="0055392D"/>
  </w:footnote>
  <w:footnote w:type="continuationSeparator" w:id="0">
    <w:p w:rsidR="0055392D" w:rsidRDefault="0055392D">
      <w:r>
        <w:continuationSeparator/>
      </w:r>
    </w:p>
    <w:p w:rsidR="0055392D" w:rsidRDefault="005539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2D" w:rsidRPr="00624DC2" w:rsidRDefault="0055392D">
    <w:pPr>
      <w:pStyle w:val="Header"/>
      <w:tabs>
        <w:tab w:val="left" w:pos="709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3F6CE7"/>
    <w:multiLevelType w:val="hybridMultilevel"/>
    <w:tmpl w:val="81866B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7E7FF9"/>
    <w:multiLevelType w:val="hybridMultilevel"/>
    <w:tmpl w:val="0F569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A4294D"/>
    <w:multiLevelType w:val="hybridMultilevel"/>
    <w:tmpl w:val="216C8CF6"/>
    <w:lvl w:ilvl="0" w:tplc="786AE4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087A05"/>
    <w:multiLevelType w:val="hybridMultilevel"/>
    <w:tmpl w:val="31E68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109D77CE"/>
    <w:multiLevelType w:val="hybridMultilevel"/>
    <w:tmpl w:val="51988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0E6987"/>
    <w:multiLevelType w:val="hybridMultilevel"/>
    <w:tmpl w:val="A2E49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25EE5F44"/>
    <w:multiLevelType w:val="hybridMultilevel"/>
    <w:tmpl w:val="9982BE0C"/>
    <w:lvl w:ilvl="0" w:tplc="0D34D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3D4CA6"/>
    <w:multiLevelType w:val="hybridMultilevel"/>
    <w:tmpl w:val="1874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8D40AF"/>
    <w:multiLevelType w:val="hybridMultilevel"/>
    <w:tmpl w:val="03D08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DA2028"/>
    <w:multiLevelType w:val="hybridMultilevel"/>
    <w:tmpl w:val="5616F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776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cs="Times New Roman Bold" w:hint="default"/>
        <w:b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3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002776"/>
        <w:sz w:val="60"/>
        <w:szCs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/>
        <w:i w:val="0"/>
        <w:iCs w:val="0"/>
        <w:color w:val="92D4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olor w:val="3C8A2E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cs="Arial" w:hint="default"/>
        <w:b/>
        <w:bCs/>
        <w:i/>
        <w:iCs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cs="Arial" w:hint="default"/>
        <w:b w:val="0"/>
        <w:bCs w:val="0"/>
        <w:i/>
        <w:i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4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46D59"/>
    <w:multiLevelType w:val="hybridMultilevel"/>
    <w:tmpl w:val="68BA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>
    <w:nsid w:val="73CA5DC5"/>
    <w:multiLevelType w:val="hybridMultilevel"/>
    <w:tmpl w:val="F1B08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D3B26A7"/>
    <w:multiLevelType w:val="hybridMultilevel"/>
    <w:tmpl w:val="39F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38"/>
  </w:num>
  <w:num w:numId="5">
    <w:abstractNumId w:val="25"/>
  </w:num>
  <w:num w:numId="6">
    <w:abstractNumId w:val="27"/>
  </w:num>
  <w:num w:numId="7">
    <w:abstractNumId w:val="3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0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2"/>
  </w:num>
  <w:num w:numId="25">
    <w:abstractNumId w:val="30"/>
  </w:num>
  <w:num w:numId="26">
    <w:abstractNumId w:val="35"/>
  </w:num>
  <w:num w:numId="27">
    <w:abstractNumId w:val="32"/>
  </w:num>
  <w:num w:numId="28">
    <w:abstractNumId w:val="26"/>
  </w:num>
  <w:num w:numId="29">
    <w:abstractNumId w:val="36"/>
  </w:num>
  <w:num w:numId="30">
    <w:abstractNumId w:val="34"/>
  </w:num>
  <w:num w:numId="31">
    <w:abstractNumId w:val="19"/>
  </w:num>
  <w:num w:numId="32">
    <w:abstractNumId w:val="31"/>
  </w:num>
  <w:num w:numId="33">
    <w:abstractNumId w:val="37"/>
  </w:num>
  <w:num w:numId="34">
    <w:abstractNumId w:val="18"/>
  </w:num>
  <w:num w:numId="35">
    <w:abstractNumId w:val="21"/>
  </w:num>
  <w:num w:numId="36">
    <w:abstractNumId w:val="39"/>
  </w:num>
  <w:num w:numId="37">
    <w:abstractNumId w:val="10"/>
  </w:num>
  <w:num w:numId="38">
    <w:abstractNumId w:val="12"/>
  </w:num>
  <w:num w:numId="39">
    <w:abstractNumId w:val="24"/>
  </w:num>
  <w:num w:numId="40">
    <w:abstractNumId w:val="13"/>
  </w:num>
  <w:num w:numId="41">
    <w:abstractNumId w:val="23"/>
  </w:num>
  <w:num w:numId="42">
    <w:abstractNumId w:val="25"/>
  </w:num>
  <w:num w:numId="43">
    <w:abstractNumId w:val="25"/>
  </w:num>
  <w:num w:numId="44">
    <w:abstractNumId w:val="25"/>
  </w:num>
  <w:num w:numId="45">
    <w:abstractNumId w:val="22"/>
  </w:num>
  <w:num w:numId="46">
    <w:abstractNumId w:val="16"/>
  </w:num>
  <w:num w:numId="47">
    <w:abstractNumId w:val="43"/>
  </w:num>
  <w:num w:numId="48">
    <w:abstractNumId w:val="41"/>
  </w:num>
  <w:num w:numId="49">
    <w:abstractNumId w:val="1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19"/>
    <w:rsid w:val="000016A5"/>
    <w:rsid w:val="00020A5B"/>
    <w:rsid w:val="00030C5B"/>
    <w:rsid w:val="000420C1"/>
    <w:rsid w:val="00070FC4"/>
    <w:rsid w:val="00071987"/>
    <w:rsid w:val="00074D2F"/>
    <w:rsid w:val="0007555C"/>
    <w:rsid w:val="00075C1E"/>
    <w:rsid w:val="0008794A"/>
    <w:rsid w:val="00095956"/>
    <w:rsid w:val="00095FE3"/>
    <w:rsid w:val="00097704"/>
    <w:rsid w:val="000A15E4"/>
    <w:rsid w:val="000A252F"/>
    <w:rsid w:val="000A25AE"/>
    <w:rsid w:val="000A3642"/>
    <w:rsid w:val="000B024D"/>
    <w:rsid w:val="000B7751"/>
    <w:rsid w:val="000C07D2"/>
    <w:rsid w:val="000C1AF3"/>
    <w:rsid w:val="000D7DB9"/>
    <w:rsid w:val="0011692E"/>
    <w:rsid w:val="001206DF"/>
    <w:rsid w:val="0012336B"/>
    <w:rsid w:val="001349B4"/>
    <w:rsid w:val="00137B33"/>
    <w:rsid w:val="00143AD7"/>
    <w:rsid w:val="001452B6"/>
    <w:rsid w:val="00146657"/>
    <w:rsid w:val="00152945"/>
    <w:rsid w:val="00156F96"/>
    <w:rsid w:val="0017198C"/>
    <w:rsid w:val="00174AFE"/>
    <w:rsid w:val="00182989"/>
    <w:rsid w:val="00182C05"/>
    <w:rsid w:val="001A19F7"/>
    <w:rsid w:val="001A3801"/>
    <w:rsid w:val="001A4B95"/>
    <w:rsid w:val="001A4E24"/>
    <w:rsid w:val="001A659D"/>
    <w:rsid w:val="001B6E17"/>
    <w:rsid w:val="001B6FE6"/>
    <w:rsid w:val="001C2EF4"/>
    <w:rsid w:val="001F0C13"/>
    <w:rsid w:val="002066F3"/>
    <w:rsid w:val="00207FCC"/>
    <w:rsid w:val="00210E5E"/>
    <w:rsid w:val="00213203"/>
    <w:rsid w:val="0021431C"/>
    <w:rsid w:val="00220042"/>
    <w:rsid w:val="002325FB"/>
    <w:rsid w:val="00235D74"/>
    <w:rsid w:val="00236144"/>
    <w:rsid w:val="00240C46"/>
    <w:rsid w:val="0024576C"/>
    <w:rsid w:val="00253BF6"/>
    <w:rsid w:val="002557C9"/>
    <w:rsid w:val="00260A1D"/>
    <w:rsid w:val="0027049D"/>
    <w:rsid w:val="00272EE5"/>
    <w:rsid w:val="00274E01"/>
    <w:rsid w:val="00283823"/>
    <w:rsid w:val="002A053C"/>
    <w:rsid w:val="002A2D62"/>
    <w:rsid w:val="002C4C54"/>
    <w:rsid w:val="002D5FCD"/>
    <w:rsid w:val="002D7602"/>
    <w:rsid w:val="002E32BC"/>
    <w:rsid w:val="002F6657"/>
    <w:rsid w:val="00300E92"/>
    <w:rsid w:val="003038D5"/>
    <w:rsid w:val="00306347"/>
    <w:rsid w:val="00310F8B"/>
    <w:rsid w:val="0031390F"/>
    <w:rsid w:val="0031599A"/>
    <w:rsid w:val="00326957"/>
    <w:rsid w:val="003530AF"/>
    <w:rsid w:val="00360EB6"/>
    <w:rsid w:val="00362BC5"/>
    <w:rsid w:val="00362F39"/>
    <w:rsid w:val="003709FE"/>
    <w:rsid w:val="00375271"/>
    <w:rsid w:val="003849AA"/>
    <w:rsid w:val="00392F8B"/>
    <w:rsid w:val="00392FE4"/>
    <w:rsid w:val="00394C79"/>
    <w:rsid w:val="003977EF"/>
    <w:rsid w:val="003A1398"/>
    <w:rsid w:val="003D424B"/>
    <w:rsid w:val="003D6630"/>
    <w:rsid w:val="003F18CD"/>
    <w:rsid w:val="003F22DC"/>
    <w:rsid w:val="003F6F8A"/>
    <w:rsid w:val="0040246A"/>
    <w:rsid w:val="00402DEA"/>
    <w:rsid w:val="004040B0"/>
    <w:rsid w:val="004169EC"/>
    <w:rsid w:val="0042148A"/>
    <w:rsid w:val="004257D7"/>
    <w:rsid w:val="00431F56"/>
    <w:rsid w:val="00441746"/>
    <w:rsid w:val="004460C4"/>
    <w:rsid w:val="004462E3"/>
    <w:rsid w:val="00457140"/>
    <w:rsid w:val="00460483"/>
    <w:rsid w:val="00496B11"/>
    <w:rsid w:val="00496CE1"/>
    <w:rsid w:val="004A14ED"/>
    <w:rsid w:val="004A4BA5"/>
    <w:rsid w:val="004A531E"/>
    <w:rsid w:val="004A6011"/>
    <w:rsid w:val="004A6C86"/>
    <w:rsid w:val="004B4FFD"/>
    <w:rsid w:val="004B53E6"/>
    <w:rsid w:val="004B67CC"/>
    <w:rsid w:val="004F7E10"/>
    <w:rsid w:val="00505FF4"/>
    <w:rsid w:val="00532D0A"/>
    <w:rsid w:val="0055251E"/>
    <w:rsid w:val="0055392D"/>
    <w:rsid w:val="0057284A"/>
    <w:rsid w:val="005730FE"/>
    <w:rsid w:val="00582B72"/>
    <w:rsid w:val="005936FF"/>
    <w:rsid w:val="005A25BD"/>
    <w:rsid w:val="005B45B9"/>
    <w:rsid w:val="005B4CAD"/>
    <w:rsid w:val="005D670E"/>
    <w:rsid w:val="005F0693"/>
    <w:rsid w:val="005F1143"/>
    <w:rsid w:val="00606BC7"/>
    <w:rsid w:val="00610E17"/>
    <w:rsid w:val="00611388"/>
    <w:rsid w:val="006116F5"/>
    <w:rsid w:val="00624DC2"/>
    <w:rsid w:val="006263B8"/>
    <w:rsid w:val="00626F7F"/>
    <w:rsid w:val="006328F5"/>
    <w:rsid w:val="00634BC9"/>
    <w:rsid w:val="00651D5B"/>
    <w:rsid w:val="006620EF"/>
    <w:rsid w:val="00670284"/>
    <w:rsid w:val="00681EC0"/>
    <w:rsid w:val="00683406"/>
    <w:rsid w:val="0068463D"/>
    <w:rsid w:val="006859B7"/>
    <w:rsid w:val="00690F8F"/>
    <w:rsid w:val="006A0610"/>
    <w:rsid w:val="006A494E"/>
    <w:rsid w:val="006B54B7"/>
    <w:rsid w:val="006C296C"/>
    <w:rsid w:val="006D02FC"/>
    <w:rsid w:val="006D09CD"/>
    <w:rsid w:val="006D6107"/>
    <w:rsid w:val="006E36DF"/>
    <w:rsid w:val="006F2C90"/>
    <w:rsid w:val="006F433C"/>
    <w:rsid w:val="006F6C05"/>
    <w:rsid w:val="006F71E5"/>
    <w:rsid w:val="007021D8"/>
    <w:rsid w:val="007026E6"/>
    <w:rsid w:val="00711003"/>
    <w:rsid w:val="00721289"/>
    <w:rsid w:val="00725BA4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A5908"/>
    <w:rsid w:val="007B7F19"/>
    <w:rsid w:val="007C2C07"/>
    <w:rsid w:val="007D22CE"/>
    <w:rsid w:val="007D3B89"/>
    <w:rsid w:val="007F11EE"/>
    <w:rsid w:val="008201A2"/>
    <w:rsid w:val="00845094"/>
    <w:rsid w:val="00847CA7"/>
    <w:rsid w:val="008503A8"/>
    <w:rsid w:val="00856B36"/>
    <w:rsid w:val="00860775"/>
    <w:rsid w:val="00875E04"/>
    <w:rsid w:val="00882CB6"/>
    <w:rsid w:val="00887E9A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E4E07"/>
    <w:rsid w:val="008E5FC6"/>
    <w:rsid w:val="008E6769"/>
    <w:rsid w:val="008E7ED1"/>
    <w:rsid w:val="008F4C12"/>
    <w:rsid w:val="009001CE"/>
    <w:rsid w:val="00900826"/>
    <w:rsid w:val="00907754"/>
    <w:rsid w:val="0091097D"/>
    <w:rsid w:val="00926186"/>
    <w:rsid w:val="0093353B"/>
    <w:rsid w:val="00935030"/>
    <w:rsid w:val="009548C7"/>
    <w:rsid w:val="00956973"/>
    <w:rsid w:val="00962584"/>
    <w:rsid w:val="009653C9"/>
    <w:rsid w:val="00984B69"/>
    <w:rsid w:val="00991839"/>
    <w:rsid w:val="009A51A3"/>
    <w:rsid w:val="009C2D16"/>
    <w:rsid w:val="009D0EC2"/>
    <w:rsid w:val="009D4C63"/>
    <w:rsid w:val="009D7ED9"/>
    <w:rsid w:val="009E21D5"/>
    <w:rsid w:val="009E63FC"/>
    <w:rsid w:val="009F568A"/>
    <w:rsid w:val="00A0681B"/>
    <w:rsid w:val="00A06919"/>
    <w:rsid w:val="00A27E2D"/>
    <w:rsid w:val="00A40230"/>
    <w:rsid w:val="00A6270A"/>
    <w:rsid w:val="00A72DBF"/>
    <w:rsid w:val="00A81CF2"/>
    <w:rsid w:val="00A97651"/>
    <w:rsid w:val="00AC292D"/>
    <w:rsid w:val="00AD41A1"/>
    <w:rsid w:val="00AE0D5E"/>
    <w:rsid w:val="00AE5FAD"/>
    <w:rsid w:val="00B12C89"/>
    <w:rsid w:val="00B20785"/>
    <w:rsid w:val="00B219B5"/>
    <w:rsid w:val="00B238EE"/>
    <w:rsid w:val="00B26AB7"/>
    <w:rsid w:val="00B26B5C"/>
    <w:rsid w:val="00B3675D"/>
    <w:rsid w:val="00B42817"/>
    <w:rsid w:val="00B50A58"/>
    <w:rsid w:val="00B56763"/>
    <w:rsid w:val="00B60C55"/>
    <w:rsid w:val="00B63DAA"/>
    <w:rsid w:val="00B66CD9"/>
    <w:rsid w:val="00B670CC"/>
    <w:rsid w:val="00B7602E"/>
    <w:rsid w:val="00B8478F"/>
    <w:rsid w:val="00BB2B77"/>
    <w:rsid w:val="00BB3322"/>
    <w:rsid w:val="00BB45CE"/>
    <w:rsid w:val="00BB4B11"/>
    <w:rsid w:val="00BB71C5"/>
    <w:rsid w:val="00BC41A6"/>
    <w:rsid w:val="00BD5CD5"/>
    <w:rsid w:val="00BE6734"/>
    <w:rsid w:val="00C06F87"/>
    <w:rsid w:val="00C34D96"/>
    <w:rsid w:val="00C40FE6"/>
    <w:rsid w:val="00C444B3"/>
    <w:rsid w:val="00C4496F"/>
    <w:rsid w:val="00C53F18"/>
    <w:rsid w:val="00C60815"/>
    <w:rsid w:val="00C63EC0"/>
    <w:rsid w:val="00C914DA"/>
    <w:rsid w:val="00C97A0D"/>
    <w:rsid w:val="00CA01E2"/>
    <w:rsid w:val="00CA7DD2"/>
    <w:rsid w:val="00CB0293"/>
    <w:rsid w:val="00CB40D6"/>
    <w:rsid w:val="00CC08EE"/>
    <w:rsid w:val="00CC2D6C"/>
    <w:rsid w:val="00CD44BA"/>
    <w:rsid w:val="00CD7E26"/>
    <w:rsid w:val="00CE00BE"/>
    <w:rsid w:val="00CE77E6"/>
    <w:rsid w:val="00D1104D"/>
    <w:rsid w:val="00D63A91"/>
    <w:rsid w:val="00D70712"/>
    <w:rsid w:val="00D727B7"/>
    <w:rsid w:val="00D72882"/>
    <w:rsid w:val="00D975C9"/>
    <w:rsid w:val="00DC6C4A"/>
    <w:rsid w:val="00DE50F2"/>
    <w:rsid w:val="00DE62DC"/>
    <w:rsid w:val="00DF1310"/>
    <w:rsid w:val="00DF22A0"/>
    <w:rsid w:val="00DF2D02"/>
    <w:rsid w:val="00E0377E"/>
    <w:rsid w:val="00E11E2B"/>
    <w:rsid w:val="00E13D82"/>
    <w:rsid w:val="00E1593C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70644"/>
    <w:rsid w:val="00E8151A"/>
    <w:rsid w:val="00E91EAE"/>
    <w:rsid w:val="00E957DF"/>
    <w:rsid w:val="00ED07B3"/>
    <w:rsid w:val="00ED39F8"/>
    <w:rsid w:val="00ED6B25"/>
    <w:rsid w:val="00EE0B0C"/>
    <w:rsid w:val="00EE67A7"/>
    <w:rsid w:val="00F0558E"/>
    <w:rsid w:val="00F06DA9"/>
    <w:rsid w:val="00F1784D"/>
    <w:rsid w:val="00F17F4C"/>
    <w:rsid w:val="00F2676F"/>
    <w:rsid w:val="00F35321"/>
    <w:rsid w:val="00F433F7"/>
    <w:rsid w:val="00F46BEA"/>
    <w:rsid w:val="00F60038"/>
    <w:rsid w:val="00F62292"/>
    <w:rsid w:val="00F64DE7"/>
    <w:rsid w:val="00F65BCE"/>
    <w:rsid w:val="00F856FB"/>
    <w:rsid w:val="00F85DDA"/>
    <w:rsid w:val="00F93335"/>
    <w:rsid w:val="00FB533A"/>
    <w:rsid w:val="00FC2858"/>
    <w:rsid w:val="00FC41B7"/>
    <w:rsid w:val="00FE07E4"/>
    <w:rsid w:val="00FE46AF"/>
    <w:rsid w:val="00FF5605"/>
    <w:rsid w:val="00FF5F17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0"/>
    <w:lsdException w:name="toc 2" w:locked="0" w:uiPriority="0"/>
    <w:lsdException w:name="toc 3" w:locked="0" w:uiPriority="0"/>
    <w:lsdException w:name="toc 4" w:locked="0" w:uiPriority="0"/>
    <w:lsdException w:name="toc 5" w:locked="0" w:uiPriority="0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semiHidden="1" w:unhideWhenUsed="1"/>
    <w:lsdException w:name="header" w:locked="0" w:uiPriority="0"/>
    <w:lsdException w:name="footer" w:locked="0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semiHidden="1" w:unhideWhenUsed="1"/>
    <w:lsdException w:name="line number" w:semiHidden="1" w:unhideWhenUsed="1"/>
    <w:lsdException w:name="page number" w:locked="0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locked="0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locked="0" w:uiPriority="0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uiPriority="0"/>
    <w:lsdException w:name="Table 3D effects 2" w:semiHidden="1" w:unhideWhenUsed="1"/>
    <w:lsdException w:name="Table 3D effects 3" w:locked="0" w:uiPriority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7B7F19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Times New Roman Bold"/>
      <w:color w:val="002776"/>
      <w:kern w:val="32"/>
      <w:sz w:val="60"/>
      <w:szCs w:val="60"/>
      <w:lang w:val="en-US" w:eastAsia="en-US"/>
    </w:rPr>
  </w:style>
  <w:style w:type="paragraph" w:styleId="Heading2">
    <w:name w:val="heading 2"/>
    <w:basedOn w:val="Heading1"/>
    <w:next w:val="Heading3"/>
    <w:link w:val="Heading2Char"/>
    <w:uiPriority w:val="99"/>
    <w:qFormat/>
    <w:rsid w:val="00E421C0"/>
    <w:pPr>
      <w:pageBreakBefore w:val="0"/>
      <w:numPr>
        <w:ilvl w:val="1"/>
      </w:numPr>
      <w:spacing w:before="240" w:after="240"/>
      <w:outlineLvl w:val="1"/>
    </w:pPr>
    <w:rPr>
      <w:rFonts w:ascii="Arial" w:hAnsi="Arial" w:cs="Arial"/>
      <w:b/>
      <w:bCs/>
      <w:color w:val="92D4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421C0"/>
    <w:pPr>
      <w:numPr>
        <w:ilvl w:val="2"/>
      </w:numPr>
      <w:outlineLvl w:val="2"/>
    </w:pPr>
    <w:rPr>
      <w:color w:val="3C8A2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bCs/>
      <w:i/>
      <w:iCs/>
      <w:color w:val="00133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iCs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71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0712"/>
    <w:rPr>
      <w:rFonts w:ascii="Arial" w:hAnsi="Arial" w:cs="Arial"/>
      <w:b/>
      <w:bCs/>
      <w:color w:val="92D400"/>
      <w:kern w:val="32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071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794A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794A"/>
    <w:rPr>
      <w:rFonts w:ascii="Arial" w:hAnsi="Arial" w:cs="Arial"/>
      <w:b/>
      <w:bCs/>
      <w:i/>
      <w:iCs/>
      <w:color w:val="00133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794A"/>
    <w:rPr>
      <w:rFonts w:ascii="Arial" w:hAnsi="Arial" w:cs="Arial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421C0"/>
    <w:rPr>
      <w:rFonts w:ascii="Arial" w:hAnsi="Arial" w:cs="Arial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421C0"/>
    <w:rPr>
      <w:rFonts w:ascii="Arial" w:hAnsi="Arial" w:cs="Arial"/>
      <w:i/>
      <w:iCs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421C0"/>
    <w:rPr>
      <w:rFonts w:ascii="Arial" w:hAnsi="Arial" w:cs="Arial"/>
      <w:i/>
      <w:iCs/>
      <w:color w:val="404040"/>
      <w:sz w:val="18"/>
      <w:szCs w:val="18"/>
    </w:rPr>
  </w:style>
  <w:style w:type="table" w:styleId="TableGrid">
    <w:name w:val="Table Grid"/>
    <w:aliases w:val="Deloitte table 3"/>
    <w:basedOn w:val="TableNormal"/>
    <w:uiPriority w:val="99"/>
    <w:rsid w:val="00A40230"/>
    <w:rPr>
      <w:rFonts w:ascii="Arial" w:hAnsi="Arial" w:cs="Arial"/>
      <w:sz w:val="19"/>
      <w:szCs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/>
        <w:b/>
        <w:bCs/>
        <w:color w:val="FFFFFF"/>
        <w:sz w:val="19"/>
        <w:szCs w:val="19"/>
      </w:rPr>
      <w:tblPr/>
      <w:tcPr>
        <w:shd w:val="clear" w:color="auto" w:fill="72C7E7"/>
      </w:tcPr>
    </w:tblStylePr>
    <w:tblStylePr w:type="firstCol">
      <w:rPr>
        <w:rFonts w:ascii="Arial" w:hAnsi="Arial" w:cs="Arial"/>
        <w:sz w:val="19"/>
        <w:szCs w:val="19"/>
      </w:rPr>
    </w:tblStylePr>
  </w:style>
  <w:style w:type="paragraph" w:styleId="Header">
    <w:name w:val="header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21C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71E5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E421C0"/>
    <w:rPr>
      <w:rFonts w:ascii="Arial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08794A"/>
    <w:pPr>
      <w:spacing w:after="240"/>
    </w:pPr>
  </w:style>
  <w:style w:type="paragraph" w:styleId="TOC2">
    <w:name w:val="toc 2"/>
    <w:basedOn w:val="Normal"/>
    <w:next w:val="Normal"/>
    <w:autoRedefine/>
    <w:uiPriority w:val="99"/>
    <w:semiHidden/>
    <w:rsid w:val="0008794A"/>
    <w:pPr>
      <w:spacing w:after="240"/>
      <w:ind w:left="238"/>
    </w:pPr>
  </w:style>
  <w:style w:type="paragraph" w:styleId="TOC3">
    <w:name w:val="toc 3"/>
    <w:basedOn w:val="Normal"/>
    <w:next w:val="Normal"/>
    <w:autoRedefine/>
    <w:uiPriority w:val="99"/>
    <w:semiHidden/>
    <w:rsid w:val="0008794A"/>
    <w:pPr>
      <w:spacing w:after="240"/>
      <w:ind w:left="482"/>
    </w:pPr>
  </w:style>
  <w:style w:type="character" w:styleId="Hyperlink">
    <w:name w:val="Hyperlink"/>
    <w:basedOn w:val="DefaultParagraphFont"/>
    <w:uiPriority w:val="99"/>
    <w:rsid w:val="006F71E5"/>
    <w:rPr>
      <w:rFonts w:ascii="Arial" w:hAnsi="Arial" w:cs="Arial"/>
      <w:color w:val="00A1DE"/>
      <w:sz w:val="19"/>
      <w:szCs w:val="19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2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712"/>
    <w:rPr>
      <w:rFonts w:cs="Times New Roman"/>
      <w:sz w:val="2"/>
      <w:szCs w:val="2"/>
    </w:rPr>
  </w:style>
  <w:style w:type="paragraph" w:customStyle="1" w:styleId="BodyText1">
    <w:name w:val="Body Text1"/>
    <w:uiPriority w:val="99"/>
    <w:rsid w:val="00E42491"/>
    <w:rPr>
      <w:rFonts w:ascii="Arial" w:hAnsi="Arial" w:cs="Arial"/>
      <w:color w:val="000000"/>
      <w:sz w:val="19"/>
      <w:szCs w:val="19"/>
      <w:lang w:eastAsia="en-US"/>
    </w:rPr>
  </w:style>
  <w:style w:type="paragraph" w:customStyle="1" w:styleId="Legalentity">
    <w:name w:val="Legal entity"/>
    <w:basedOn w:val="Normal"/>
    <w:uiPriority w:val="99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smlouvaheading1">
    <w:name w:val="smlouva heading 1"/>
    <w:next w:val="BodyText1"/>
    <w:uiPriority w:val="99"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 w:cs="Arial"/>
      <w:b/>
      <w:bCs/>
      <w:noProof/>
      <w:color w:val="000000"/>
      <w:sz w:val="19"/>
      <w:szCs w:val="19"/>
      <w:lang w:eastAsia="en-US"/>
    </w:rPr>
  </w:style>
  <w:style w:type="paragraph" w:customStyle="1" w:styleId="CaptionIntroductionparagraph">
    <w:name w:val="Caption Introduction paragraph"/>
    <w:uiPriority w:val="99"/>
    <w:rsid w:val="007F11EE"/>
    <w:rPr>
      <w:rFonts w:ascii="Arial" w:hAnsi="Arial" w:cs="Arial"/>
      <w:b/>
      <w:bCs/>
      <w:color w:val="00A1DE"/>
      <w:sz w:val="24"/>
      <w:szCs w:val="24"/>
      <w:lang w:eastAsia="en-US"/>
    </w:rPr>
  </w:style>
  <w:style w:type="paragraph" w:customStyle="1" w:styleId="smlouvaheading2">
    <w:name w:val="smlouva heading 2"/>
    <w:basedOn w:val="CaptionIntroductionparagraph"/>
    <w:next w:val="BodyText1"/>
    <w:uiPriority w:val="99"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bCs w:val="0"/>
      <w:color w:val="000000"/>
      <w:sz w:val="19"/>
      <w:szCs w:val="19"/>
    </w:rPr>
  </w:style>
  <w:style w:type="paragraph" w:customStyle="1" w:styleId="smlouvaheading3">
    <w:name w:val="smlouva heading 3"/>
    <w:basedOn w:val="smlouvaheading2"/>
    <w:next w:val="BodyText1"/>
    <w:uiPriority w:val="99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uiPriority w:val="99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uiPriority w:val="99"/>
    <w:rsid w:val="00900826"/>
    <w:pPr>
      <w:numPr>
        <w:ilvl w:val="0"/>
        <w:numId w:val="0"/>
      </w:numPr>
    </w:pPr>
    <w:rPr>
      <w:b/>
      <w:bCs/>
    </w:rPr>
  </w:style>
  <w:style w:type="paragraph" w:customStyle="1" w:styleId="Bodytextbold">
    <w:name w:val="Body text bold"/>
    <w:basedOn w:val="smlouvabodytextbold"/>
    <w:next w:val="BodyText1"/>
    <w:uiPriority w:val="99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uiPriority w:val="99"/>
    <w:locked/>
    <w:rsid w:val="005B4CAD"/>
    <w:rPr>
      <w:rFonts w:ascii="Arial" w:hAnsi="Arial" w:cs="Arial"/>
      <w:color w:val="000000"/>
      <w:sz w:val="18"/>
      <w:szCs w:val="18"/>
      <w:lang w:val="en-US" w:eastAsia="en-US" w:bidi="ar-SA"/>
    </w:rPr>
  </w:style>
  <w:style w:type="paragraph" w:customStyle="1" w:styleId="Captionbody">
    <w:name w:val="Caption body"/>
    <w:link w:val="CaptionbodyChar"/>
    <w:uiPriority w:val="99"/>
    <w:rsid w:val="005B4CAD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heading">
    <w:name w:val="Caption heading"/>
    <w:basedOn w:val="Captionbody"/>
    <w:uiPriority w:val="99"/>
    <w:rsid w:val="005B4CAD"/>
    <w:rPr>
      <w:b/>
      <w:bCs/>
    </w:rPr>
  </w:style>
  <w:style w:type="paragraph" w:customStyle="1" w:styleId="smlouvabodytext">
    <w:name w:val="smlouva body text"/>
    <w:basedOn w:val="Normal"/>
    <w:uiPriority w:val="99"/>
    <w:rsid w:val="00900826"/>
    <w:pPr>
      <w:spacing w:before="120"/>
      <w:jc w:val="both"/>
    </w:pPr>
    <w:rPr>
      <w:noProof/>
    </w:rPr>
  </w:style>
  <w:style w:type="paragraph" w:customStyle="1" w:styleId="Bulletslevel1">
    <w:name w:val="Bullets level 1"/>
    <w:basedOn w:val="Normal"/>
    <w:link w:val="Bulletslevel1Char"/>
    <w:uiPriority w:val="99"/>
    <w:rsid w:val="00075C1E"/>
    <w:pPr>
      <w:numPr>
        <w:numId w:val="4"/>
      </w:numPr>
      <w:spacing w:before="120"/>
      <w:ind w:left="360"/>
    </w:pPr>
    <w:rPr>
      <w:color w:val="000000"/>
      <w:lang w:val="en-GB"/>
    </w:rPr>
  </w:style>
  <w:style w:type="character" w:customStyle="1" w:styleId="Bulletslevel1Char">
    <w:name w:val="Bullets level 1 Char"/>
    <w:basedOn w:val="DefaultParagraphFont"/>
    <w:link w:val="Bulletslevel1"/>
    <w:uiPriority w:val="99"/>
    <w:locked/>
    <w:rsid w:val="001C2EF4"/>
    <w:rPr>
      <w:rFonts w:ascii="Arial" w:hAnsi="Arial" w:cs="Arial"/>
      <w:color w:val="000000"/>
      <w:sz w:val="19"/>
      <w:szCs w:val="19"/>
      <w:lang w:val="en-GB"/>
    </w:rPr>
  </w:style>
  <w:style w:type="paragraph" w:customStyle="1" w:styleId="Bulletslevel2">
    <w:name w:val="Bullets level 2"/>
    <w:basedOn w:val="Normal"/>
    <w:link w:val="Bulletslevel2Char"/>
    <w:uiPriority w:val="99"/>
    <w:rsid w:val="00DC6C4A"/>
    <w:pPr>
      <w:numPr>
        <w:numId w:val="18"/>
      </w:numPr>
      <w:tabs>
        <w:tab w:val="left" w:pos="567"/>
      </w:tabs>
      <w:spacing w:before="120"/>
    </w:pPr>
    <w:rPr>
      <w:color w:val="000000"/>
      <w:lang w:val="en-GB"/>
    </w:rPr>
  </w:style>
  <w:style w:type="character" w:customStyle="1" w:styleId="Bulletslevel2Char">
    <w:name w:val="Bullets level 2 Char"/>
    <w:basedOn w:val="Bulletslevel1Char"/>
    <w:link w:val="Bulletslevel2"/>
    <w:uiPriority w:val="99"/>
    <w:locked/>
    <w:rsid w:val="00DC6C4A"/>
  </w:style>
  <w:style w:type="paragraph" w:customStyle="1" w:styleId="PulloutQuote">
    <w:name w:val="Pullout Quote"/>
    <w:uiPriority w:val="99"/>
    <w:rsid w:val="00095956"/>
    <w:pPr>
      <w:pBdr>
        <w:top w:val="single" w:sz="4" w:space="4" w:color="00A1DE"/>
      </w:pBdr>
      <w:suppressAutoHyphens/>
      <w:spacing w:line="320" w:lineRule="exact"/>
    </w:pPr>
    <w:rPr>
      <w:color w:val="00A1DE"/>
      <w:sz w:val="32"/>
      <w:szCs w:val="32"/>
      <w:lang w:val="en-GB" w:eastAsia="en-US"/>
    </w:rPr>
  </w:style>
  <w:style w:type="paragraph" w:customStyle="1" w:styleId="Highlight1">
    <w:name w:val="Highlight 1"/>
    <w:basedOn w:val="Normal"/>
    <w:uiPriority w:val="99"/>
    <w:rsid w:val="00146657"/>
    <w:rPr>
      <w:b/>
      <w:bCs/>
      <w:color w:val="3C8A2E"/>
      <w:sz w:val="20"/>
      <w:szCs w:val="20"/>
    </w:rPr>
  </w:style>
  <w:style w:type="paragraph" w:customStyle="1" w:styleId="Highlight2">
    <w:name w:val="Highlight 2"/>
    <w:basedOn w:val="Highlight1"/>
    <w:uiPriority w:val="99"/>
    <w:rsid w:val="00146657"/>
    <w:rPr>
      <w:color w:val="92D400"/>
    </w:rPr>
  </w:style>
  <w:style w:type="table" w:customStyle="1" w:styleId="Deloittetable1">
    <w:name w:val="Deloitte table 1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paragraph" w:styleId="TOC4">
    <w:name w:val="toc 4"/>
    <w:basedOn w:val="Normal"/>
    <w:next w:val="Normal"/>
    <w:autoRedefine/>
    <w:uiPriority w:val="99"/>
    <w:semiHidden/>
    <w:rsid w:val="00CB0293"/>
    <w:pPr>
      <w:spacing w:after="240"/>
      <w:ind w:left="720"/>
    </w:pPr>
  </w:style>
  <w:style w:type="table" w:customStyle="1" w:styleId="Deloittetable2">
    <w:name w:val="Deloitte table 2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le3Deffects1">
    <w:name w:val="Table 3D effects 1"/>
    <w:basedOn w:val="TableNormal"/>
    <w:uiPriority w:val="99"/>
    <w:rsid w:val="00CE00BE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5">
    <w:name w:val="Deloitte table 5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Style1">
    <w:name w:val="Style1"/>
    <w:uiPriority w:val="99"/>
    <w:rsid w:val="00CE00BE"/>
    <w:rPr>
      <w:rFonts w:ascii="Arial" w:hAnsi="Arial" w:cs="Arial"/>
      <w:sz w:val="19"/>
      <w:szCs w:val="19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7">
    <w:name w:val="Deloitte table 7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le3Deffects3">
    <w:name w:val="Table 3D effects 3"/>
    <w:basedOn w:val="TableNormal"/>
    <w:uiPriority w:val="99"/>
    <w:rsid w:val="00CE00B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uiPriority w:val="99"/>
    <w:rsid w:val="006F2C90"/>
    <w:rPr>
      <w:rFonts w:ascii="Arial" w:hAnsi="Arial" w:cs="Arial"/>
      <w:sz w:val="19"/>
      <w:szCs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81">
    <w:name w:val="Deloitte table 8.1"/>
    <w:uiPriority w:val="99"/>
    <w:rsid w:val="006F2C90"/>
    <w:rPr>
      <w:rFonts w:ascii="Arial" w:hAnsi="Arial" w:cs="Arial"/>
      <w:sz w:val="19"/>
      <w:szCs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2">
    <w:name w:val="Deloitte table 8.2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3">
    <w:name w:val="Deloitte table 8.3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4">
    <w:name w:val="Deloitte table 8.4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5">
    <w:name w:val="Deloitte table 8.5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6">
    <w:name w:val="Deloitte table 8.6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leColumns3">
    <w:name w:val="Table Columns 3"/>
    <w:basedOn w:val="TableNormal"/>
    <w:uiPriority w:val="99"/>
    <w:rsid w:val="00FE07E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99"/>
    <w:rsid w:val="00FE07E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rFonts w:cs="Times New Roman"/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rPr>
        <w:rFonts w:cs="Times New Roman"/>
      </w:rPr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99"/>
    <w:rsid w:val="00FE07E4"/>
    <w:rPr>
      <w:rFonts w:ascii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rFonts w:cs="Arial"/>
        <w:b/>
        <w:bCs/>
        <w:color w:val="000000"/>
      </w:rPr>
      <w:tblPr/>
      <w:tcPr>
        <w:shd w:val="clear" w:color="auto" w:fill="F1F9FC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rPr>
        <w:rFonts w:cs="Arial"/>
      </w:rPr>
      <w:tblPr/>
      <w:tcPr>
        <w:shd w:val="clear" w:color="auto" w:fill="B8E2F3"/>
      </w:tcPr>
    </w:tblStylePr>
    <w:tblStylePr w:type="band1Horz">
      <w:rPr>
        <w:rFonts w:cs="Arial"/>
      </w:rPr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paragraph" w:styleId="TOC5">
    <w:name w:val="toc 5"/>
    <w:basedOn w:val="Normal"/>
    <w:next w:val="Normal"/>
    <w:autoRedefine/>
    <w:uiPriority w:val="99"/>
    <w:semiHidden/>
    <w:rsid w:val="00210E5E"/>
    <w:pPr>
      <w:spacing w:after="100"/>
      <w:ind w:left="960"/>
    </w:pPr>
  </w:style>
  <w:style w:type="character" w:styleId="FootnoteReference">
    <w:name w:val="footnote reference"/>
    <w:basedOn w:val="DefaultParagraphFont"/>
    <w:uiPriority w:val="99"/>
    <w:semiHidden/>
    <w:rsid w:val="00E421C0"/>
    <w:rPr>
      <w:rFonts w:ascii="Arial" w:hAnsi="Arial" w:cs="Arial"/>
      <w:sz w:val="16"/>
      <w:szCs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21C0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21C0"/>
    <w:rPr>
      <w:rFonts w:ascii="Arial" w:hAnsi="Arial" w:cs="Arial"/>
      <w:sz w:val="16"/>
      <w:szCs w:val="16"/>
    </w:rPr>
  </w:style>
  <w:style w:type="paragraph" w:customStyle="1" w:styleId="Highlight3">
    <w:name w:val="Highlight 3"/>
    <w:basedOn w:val="Highlight2"/>
    <w:uiPriority w:val="99"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99"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Arial"/>
      <w:b/>
      <w:bCs/>
      <w:color w:val="001D58"/>
      <w:kern w:val="0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B7F19"/>
    <w:pPr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B7F19"/>
    <w:rPr>
      <w:rFonts w:cs="Times New Roman"/>
      <w:sz w:val="24"/>
      <w:szCs w:val="24"/>
      <w:u w:val="single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7B7F1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7F19"/>
    <w:rPr>
      <w:rFonts w:cs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99"/>
    <w:qFormat/>
    <w:rsid w:val="00887E9A"/>
    <w:pPr>
      <w:ind w:left="720"/>
    </w:pPr>
    <w:rPr>
      <w:rFonts w:ascii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4</Pages>
  <Words>907</Words>
  <Characters>5355</Characters>
  <Application>Microsoft Office Outlook</Application>
  <DocSecurity>0</DocSecurity>
  <Lines>0</Lines>
  <Paragraphs>0</Paragraphs>
  <ScaleCrop>false</ScaleCrop>
  <Company>Deloitte Central Europe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Výpočet ukazatelů podle ustanovení § 10 odst</dc:title>
  <dc:subject/>
  <dc:creator>Martina Smetanova</dc:creator>
  <cp:keywords/>
  <dc:description/>
  <cp:lastModifiedBy>Jana Kolouchova</cp:lastModifiedBy>
  <cp:revision>8</cp:revision>
  <cp:lastPrinted>2013-11-19T08:42:00Z</cp:lastPrinted>
  <dcterms:created xsi:type="dcterms:W3CDTF">2013-11-15T11:36:00Z</dcterms:created>
  <dcterms:modified xsi:type="dcterms:W3CDTF">2014-02-28T10:19:00Z</dcterms:modified>
</cp:coreProperties>
</file>